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C6369" w14:textId="374AF4A4" w:rsidR="00323EDC" w:rsidRPr="00A721CE" w:rsidRDefault="00323EDC" w:rsidP="00006FA4">
      <w:pPr>
        <w:jc w:val="both"/>
        <w:rPr>
          <w:rFonts w:ascii="Calibri" w:hAnsi="Calibri" w:cs="Calibri"/>
          <w:sz w:val="22"/>
          <w:szCs w:val="22"/>
        </w:rPr>
      </w:pPr>
      <w:r w:rsidRPr="00212D03">
        <w:rPr>
          <w:rFonts w:ascii="Calibri" w:hAnsi="Calibri" w:cs="Calibri"/>
          <w:b/>
          <w:bCs/>
          <w:sz w:val="22"/>
          <w:szCs w:val="22"/>
        </w:rPr>
        <w:t>Forum</w:t>
      </w:r>
      <w:r w:rsidRPr="00006FA4">
        <w:rPr>
          <w:rFonts w:ascii="Calibri" w:hAnsi="Calibri" w:cs="Calibri"/>
          <w:sz w:val="22"/>
          <w:szCs w:val="22"/>
        </w:rPr>
        <w:t xml:space="preserve">: General </w:t>
      </w:r>
      <w:r w:rsidRPr="00A721CE">
        <w:rPr>
          <w:rFonts w:ascii="Calibri" w:hAnsi="Calibri" w:cs="Calibri"/>
          <w:sz w:val="22"/>
          <w:szCs w:val="22"/>
        </w:rPr>
        <w:t>Assembly 1</w:t>
      </w:r>
    </w:p>
    <w:p w14:paraId="00CE6F17" w14:textId="5B5292E1" w:rsidR="00323EDC" w:rsidRPr="00A721CE" w:rsidRDefault="00323EDC" w:rsidP="00006FA4">
      <w:pPr>
        <w:jc w:val="both"/>
        <w:rPr>
          <w:rFonts w:ascii="Calibri" w:hAnsi="Calibri" w:cs="Calibri"/>
          <w:sz w:val="22"/>
          <w:szCs w:val="22"/>
        </w:rPr>
      </w:pPr>
      <w:r w:rsidRPr="00A721CE">
        <w:rPr>
          <w:rFonts w:ascii="Calibri" w:hAnsi="Calibri" w:cs="Calibri"/>
          <w:b/>
          <w:bCs/>
          <w:sz w:val="22"/>
          <w:szCs w:val="22"/>
        </w:rPr>
        <w:t>Issue</w:t>
      </w:r>
      <w:r w:rsidRPr="00A721CE">
        <w:rPr>
          <w:rFonts w:ascii="Calibri" w:hAnsi="Calibri" w:cs="Calibri"/>
          <w:sz w:val="22"/>
          <w:szCs w:val="22"/>
        </w:rPr>
        <w:t>: preventing and countering bioterrorism</w:t>
      </w:r>
    </w:p>
    <w:p w14:paraId="0A8884D3" w14:textId="497218F6" w:rsidR="00323EDC" w:rsidRPr="00A721CE" w:rsidRDefault="00323EDC" w:rsidP="00006FA4">
      <w:pPr>
        <w:jc w:val="both"/>
        <w:rPr>
          <w:rFonts w:ascii="Calibri" w:hAnsi="Calibri" w:cs="Calibri"/>
          <w:sz w:val="22"/>
          <w:szCs w:val="22"/>
        </w:rPr>
      </w:pPr>
      <w:r w:rsidRPr="00A721CE">
        <w:rPr>
          <w:rFonts w:ascii="Calibri" w:hAnsi="Calibri" w:cs="Calibri"/>
          <w:b/>
          <w:bCs/>
          <w:sz w:val="22"/>
          <w:szCs w:val="22"/>
        </w:rPr>
        <w:t>Student</w:t>
      </w:r>
      <w:r w:rsidRPr="00A721CE">
        <w:rPr>
          <w:rFonts w:ascii="Calibri" w:hAnsi="Calibri" w:cs="Calibri"/>
          <w:sz w:val="22"/>
          <w:szCs w:val="22"/>
        </w:rPr>
        <w:t xml:space="preserve"> </w:t>
      </w:r>
      <w:r w:rsidRPr="00A721CE">
        <w:rPr>
          <w:rFonts w:ascii="Calibri" w:hAnsi="Calibri" w:cs="Calibri"/>
          <w:b/>
          <w:bCs/>
          <w:sz w:val="22"/>
          <w:szCs w:val="22"/>
        </w:rPr>
        <w:t>Officer</w:t>
      </w:r>
      <w:r w:rsidRPr="00A721CE">
        <w:rPr>
          <w:rFonts w:ascii="Calibri" w:hAnsi="Calibri" w:cs="Calibri"/>
          <w:sz w:val="22"/>
          <w:szCs w:val="22"/>
        </w:rPr>
        <w:t>: Sara Morsi</w:t>
      </w:r>
    </w:p>
    <w:p w14:paraId="52505EF6" w14:textId="77777777" w:rsidR="005F15DD" w:rsidRPr="00A721CE" w:rsidRDefault="00323EDC" w:rsidP="00006FA4">
      <w:pPr>
        <w:jc w:val="both"/>
        <w:rPr>
          <w:rFonts w:ascii="Calibri" w:hAnsi="Calibri" w:cs="Calibri"/>
          <w:sz w:val="22"/>
          <w:szCs w:val="22"/>
        </w:rPr>
      </w:pPr>
      <w:r w:rsidRPr="00A721CE">
        <w:rPr>
          <w:rFonts w:ascii="Calibri" w:hAnsi="Calibri" w:cs="Calibri"/>
          <w:b/>
          <w:bCs/>
          <w:sz w:val="22"/>
          <w:szCs w:val="22"/>
        </w:rPr>
        <w:t>Position</w:t>
      </w:r>
      <w:r w:rsidRPr="00A721CE">
        <w:rPr>
          <w:rFonts w:ascii="Calibri" w:hAnsi="Calibri" w:cs="Calibri"/>
          <w:sz w:val="22"/>
          <w:szCs w:val="22"/>
        </w:rPr>
        <w:t xml:space="preserve">: </w:t>
      </w:r>
      <w:r w:rsidR="005F15DD" w:rsidRPr="00A721CE">
        <w:rPr>
          <w:rFonts w:ascii="Calibri" w:hAnsi="Calibri" w:cs="Calibri"/>
          <w:sz w:val="22"/>
          <w:szCs w:val="22"/>
        </w:rPr>
        <w:t>Deputy President</w:t>
      </w:r>
    </w:p>
    <w:p w14:paraId="5B5EE24E" w14:textId="30643CEB" w:rsidR="00323EDC" w:rsidRPr="00893FFC" w:rsidRDefault="005F15DD" w:rsidP="00006FA4">
      <w:pPr>
        <w:jc w:val="both"/>
        <w:rPr>
          <w:rFonts w:ascii="Calibri" w:hAnsi="Calibri" w:cs="Calibri"/>
          <w:b/>
          <w:bCs/>
          <w:sz w:val="28"/>
          <w:szCs w:val="28"/>
        </w:rPr>
      </w:pPr>
      <w:r w:rsidRPr="00893FFC">
        <w:rPr>
          <w:rFonts w:ascii="Calibri" w:hAnsi="Calibri" w:cs="Calibri"/>
          <w:b/>
          <w:bCs/>
          <w:sz w:val="28"/>
          <w:szCs w:val="28"/>
        </w:rPr>
        <w:t>Introduction</w:t>
      </w:r>
    </w:p>
    <w:p w14:paraId="2611AAE5" w14:textId="63F3E75E" w:rsidR="00006FA4" w:rsidRPr="00A721CE" w:rsidRDefault="00593D5C" w:rsidP="00006FA4">
      <w:pPr>
        <w:jc w:val="both"/>
        <w:rPr>
          <w:rFonts w:ascii="Calibri" w:hAnsi="Calibri" w:cs="Calibri"/>
          <w:color w:val="000000"/>
          <w:sz w:val="22"/>
          <w:szCs w:val="22"/>
        </w:rPr>
      </w:pPr>
      <w:r w:rsidRPr="00A721CE">
        <w:rPr>
          <w:rFonts w:ascii="Calibri" w:hAnsi="Calibri" w:cs="Calibri"/>
          <w:color w:val="000000"/>
          <w:sz w:val="22"/>
          <w:szCs w:val="22"/>
        </w:rPr>
        <w:t xml:space="preserve">In today's world, bioterrorism has emerged as a complex and significant threat to global security, </w:t>
      </w:r>
      <w:r w:rsidR="00D61113" w:rsidRPr="00A721CE">
        <w:rPr>
          <w:rFonts w:ascii="Calibri" w:hAnsi="Calibri" w:cs="Calibri"/>
          <w:color w:val="000000"/>
          <w:sz w:val="22"/>
          <w:szCs w:val="22"/>
        </w:rPr>
        <w:t xml:space="preserve">characterized by rapid globalization and technological advancements, </w:t>
      </w:r>
      <w:r w:rsidRPr="00A721CE">
        <w:rPr>
          <w:rFonts w:ascii="Calibri" w:hAnsi="Calibri" w:cs="Calibri"/>
          <w:color w:val="000000"/>
          <w:sz w:val="22"/>
          <w:szCs w:val="22"/>
        </w:rPr>
        <w:t>public health, and socio-economic stability. Bioterrorism involves the intentional release of biological agents</w:t>
      </w:r>
      <w:r w:rsidR="007D2F76" w:rsidRPr="00A721CE">
        <w:rPr>
          <w:rFonts w:ascii="Calibri" w:hAnsi="Calibri" w:cs="Calibri"/>
          <w:color w:val="000000"/>
          <w:sz w:val="22"/>
          <w:szCs w:val="22"/>
        </w:rPr>
        <w:t xml:space="preserve">- </w:t>
      </w:r>
      <w:r w:rsidRPr="00A721CE">
        <w:rPr>
          <w:rFonts w:ascii="Calibri" w:hAnsi="Calibri" w:cs="Calibri"/>
          <w:color w:val="000000"/>
          <w:sz w:val="22"/>
          <w:szCs w:val="22"/>
        </w:rPr>
        <w:t>such as bacteria, viruses, or toxins</w:t>
      </w:r>
      <w:r w:rsidR="007D2F76" w:rsidRPr="00A721CE">
        <w:rPr>
          <w:rFonts w:ascii="Calibri" w:hAnsi="Calibri" w:cs="Calibri"/>
          <w:color w:val="000000"/>
          <w:sz w:val="22"/>
          <w:szCs w:val="22"/>
        </w:rPr>
        <w:t xml:space="preserve"> - </w:t>
      </w:r>
      <w:r w:rsidRPr="00A721CE">
        <w:rPr>
          <w:rFonts w:ascii="Calibri" w:hAnsi="Calibri" w:cs="Calibri"/>
          <w:color w:val="000000"/>
          <w:sz w:val="22"/>
          <w:szCs w:val="22"/>
        </w:rPr>
        <w:t xml:space="preserve">with the aim of causing illness, fatalities, or societal disruption. Unlike traditional weapons, these agents can spread in an invisible and unpredictable manner, instilling widespread fear and uncertainty. Their potential for mass devastation, combined with relatively low production costs and ease of distribution, renders them appealing to both state and non-state actors. </w:t>
      </w:r>
    </w:p>
    <w:p w14:paraId="3378BB12" w14:textId="238CE60F" w:rsidR="00006FA4" w:rsidRPr="00A721CE" w:rsidRDefault="00593D5C" w:rsidP="00006FA4">
      <w:pPr>
        <w:jc w:val="both"/>
        <w:rPr>
          <w:rFonts w:ascii="Calibri" w:hAnsi="Calibri" w:cs="Calibri"/>
          <w:color w:val="000000"/>
          <w:sz w:val="22"/>
          <w:szCs w:val="22"/>
        </w:rPr>
      </w:pPr>
      <w:r w:rsidRPr="00A721CE">
        <w:rPr>
          <w:rFonts w:ascii="Calibri" w:hAnsi="Calibri" w:cs="Calibri"/>
          <w:color w:val="000000"/>
          <w:sz w:val="22"/>
          <w:szCs w:val="22"/>
        </w:rPr>
        <w:t xml:space="preserve">The advancing field of biotechnology has intensified the threat of bioterrorism. While innovations in genetic engineering, synthetic biology, and artificial intelligence offer great potential for enhancing global health and combating diseases, they also pose a dual-use challenge. If exploited, these technologies could </w:t>
      </w:r>
      <w:r w:rsidR="003B512D" w:rsidRPr="00A721CE">
        <w:rPr>
          <w:rFonts w:ascii="Calibri" w:hAnsi="Calibri" w:cs="Calibri"/>
          <w:color w:val="000000"/>
          <w:sz w:val="22"/>
          <w:szCs w:val="22"/>
        </w:rPr>
        <w:t>allow for</w:t>
      </w:r>
      <w:r w:rsidRPr="00A721CE">
        <w:rPr>
          <w:rFonts w:ascii="Calibri" w:hAnsi="Calibri" w:cs="Calibri"/>
          <w:color w:val="000000"/>
          <w:sz w:val="22"/>
          <w:szCs w:val="22"/>
        </w:rPr>
        <w:t xml:space="preserve"> the creation of new pathogens, the enhancement of existing ones, or the mass production of biological agents. Furthermore, the increasing accessibility of these technologies has lowered the barriers for individuals or groups with harmful intentions to develop bioweapons.</w:t>
      </w:r>
    </w:p>
    <w:p w14:paraId="7296B105" w14:textId="502F20BA" w:rsidR="00323EDC" w:rsidRPr="00A721CE" w:rsidRDefault="00006FA4" w:rsidP="00006FA4">
      <w:pPr>
        <w:jc w:val="both"/>
        <w:rPr>
          <w:rFonts w:ascii="Calibri" w:hAnsi="Calibri" w:cs="Calibri"/>
          <w:color w:val="000000"/>
          <w:sz w:val="22"/>
          <w:szCs w:val="22"/>
        </w:rPr>
      </w:pPr>
      <w:r w:rsidRPr="00A721CE">
        <w:rPr>
          <w:rFonts w:ascii="Calibri" w:hAnsi="Calibri" w:cs="Calibri"/>
          <w:color w:val="000000"/>
          <w:sz w:val="22"/>
          <w:szCs w:val="22"/>
        </w:rPr>
        <w:t xml:space="preserve"> </w:t>
      </w:r>
      <w:r w:rsidR="00593D5C" w:rsidRPr="00A721CE">
        <w:rPr>
          <w:rFonts w:ascii="Calibri" w:hAnsi="Calibri" w:cs="Calibri"/>
          <w:color w:val="000000"/>
          <w:sz w:val="22"/>
          <w:szCs w:val="22"/>
        </w:rPr>
        <w:t>Compounding this issue is the interconnected nature of the modern world, which amplifies the risks associated with bioterrorism. A single biological attack in one region could swiftly escalate into a global health emergency, as pathogens can rapidly cross borders through international trade and travel. The COVID-19 pandemic has starkly illustrated the catastrophic effects that a highly transmissible biological agent can inflict on societies, economies, and healthcare systems, even when its release is accidental. This situation highlights the pressing need for comprehensive prevention, preparedness, and response strategies to counter intentional biological threats.</w:t>
      </w:r>
    </w:p>
    <w:p w14:paraId="6DD2EE25" w14:textId="77777777" w:rsidR="00006FA4" w:rsidRPr="00A721CE" w:rsidRDefault="00006FA4" w:rsidP="00006FA4">
      <w:pPr>
        <w:jc w:val="both"/>
        <w:rPr>
          <w:rFonts w:ascii="Calibri" w:hAnsi="Calibri" w:cs="Calibri"/>
          <w:color w:val="000000"/>
          <w:sz w:val="22"/>
          <w:szCs w:val="22"/>
        </w:rPr>
      </w:pPr>
      <w:r w:rsidRPr="00A721CE">
        <w:rPr>
          <w:rFonts w:ascii="Calibri" w:hAnsi="Calibri" w:cs="Calibri"/>
          <w:color w:val="000000"/>
          <w:sz w:val="22"/>
          <w:szCs w:val="22"/>
        </w:rPr>
        <w:t xml:space="preserve">The purpose of this report is to not only highlight the escalating threat posed by bioterrorism but also to recommend practical strategies for mitigating these risks. It underscores the necessity of promoting international cooperation, investing in advanced detection technologies, and strengthening the resilience of healthcare systems. Additionally, it calls for the establishment of more robust legal and regulatory frameworks to tackle the dual-use dilemma of biotechnology, alongside fostering public-private partnerships to stimulate innovation in biodefense. </w:t>
      </w:r>
    </w:p>
    <w:p w14:paraId="3A80B64B" w14:textId="20289A4F" w:rsidR="00006FA4" w:rsidRPr="00A721CE" w:rsidRDefault="00006FA4" w:rsidP="003B512D">
      <w:pPr>
        <w:jc w:val="both"/>
        <w:rPr>
          <w:rFonts w:ascii="Calibri" w:hAnsi="Calibri" w:cs="Calibri"/>
          <w:color w:val="000000"/>
          <w:sz w:val="22"/>
          <w:szCs w:val="22"/>
        </w:rPr>
      </w:pPr>
      <w:r w:rsidRPr="00A721CE">
        <w:rPr>
          <w:rFonts w:ascii="Calibri" w:hAnsi="Calibri" w:cs="Calibri"/>
          <w:color w:val="000000"/>
          <w:sz w:val="22"/>
          <w:szCs w:val="22"/>
        </w:rPr>
        <w:t xml:space="preserve">By embracing a proactive and interdisciplinary approach, we can </w:t>
      </w:r>
      <w:r w:rsidR="003B512D" w:rsidRPr="00A721CE">
        <w:rPr>
          <w:rFonts w:ascii="Calibri" w:hAnsi="Calibri" w:cs="Calibri"/>
          <w:color w:val="000000"/>
          <w:sz w:val="22"/>
          <w:szCs w:val="22"/>
        </w:rPr>
        <w:t>improve</w:t>
      </w:r>
      <w:r w:rsidRPr="00A721CE">
        <w:rPr>
          <w:rFonts w:ascii="Calibri" w:hAnsi="Calibri" w:cs="Calibri"/>
          <w:color w:val="000000"/>
          <w:sz w:val="22"/>
          <w:szCs w:val="22"/>
        </w:rPr>
        <w:t xml:space="preserve"> our preparedness to confront the bioterrorism challenges of both the present and the future. </w:t>
      </w:r>
    </w:p>
    <w:p w14:paraId="3845EDEC" w14:textId="77777777" w:rsidR="003B512D" w:rsidRPr="00A721CE" w:rsidRDefault="003B512D" w:rsidP="00006FA4">
      <w:pPr>
        <w:jc w:val="both"/>
        <w:rPr>
          <w:rFonts w:ascii="Calibri" w:hAnsi="Calibri" w:cs="Calibri"/>
          <w:color w:val="000000"/>
          <w:sz w:val="22"/>
          <w:szCs w:val="22"/>
        </w:rPr>
      </w:pPr>
    </w:p>
    <w:p w14:paraId="474BF695" w14:textId="77777777" w:rsidR="003B512D" w:rsidRPr="00A721CE" w:rsidRDefault="003B512D" w:rsidP="00006FA4">
      <w:pPr>
        <w:jc w:val="both"/>
        <w:rPr>
          <w:rFonts w:ascii="Calibri" w:hAnsi="Calibri" w:cs="Calibri"/>
          <w:color w:val="000000"/>
          <w:sz w:val="22"/>
          <w:szCs w:val="22"/>
        </w:rPr>
      </w:pPr>
    </w:p>
    <w:p w14:paraId="2ADE0F84" w14:textId="6DC55B49" w:rsidR="00006FA4" w:rsidRPr="00893FFC" w:rsidRDefault="00006FA4" w:rsidP="00006FA4">
      <w:pPr>
        <w:jc w:val="both"/>
        <w:rPr>
          <w:rFonts w:ascii="Calibri" w:hAnsi="Calibri" w:cs="Calibri"/>
          <w:b/>
          <w:bCs/>
          <w:color w:val="000000"/>
          <w:sz w:val="28"/>
          <w:szCs w:val="28"/>
        </w:rPr>
      </w:pPr>
      <w:r w:rsidRPr="00893FFC">
        <w:rPr>
          <w:rFonts w:ascii="Calibri" w:hAnsi="Calibri" w:cs="Calibri"/>
          <w:b/>
          <w:bCs/>
          <w:color w:val="000000"/>
          <w:sz w:val="28"/>
          <w:szCs w:val="28"/>
        </w:rPr>
        <w:lastRenderedPageBreak/>
        <w:t>Key Terms:</w:t>
      </w:r>
    </w:p>
    <w:p w14:paraId="25B3206D" w14:textId="77777777" w:rsidR="00865D12" w:rsidRDefault="00006FA4" w:rsidP="00006FA4">
      <w:pPr>
        <w:pStyle w:val="NormalWeb"/>
        <w:ind w:left="360"/>
        <w:jc w:val="both"/>
        <w:rPr>
          <w:rFonts w:ascii="Calibri" w:hAnsi="Calibri" w:cs="Calibri"/>
          <w:sz w:val="22"/>
          <w:szCs w:val="22"/>
        </w:rPr>
      </w:pPr>
      <w:r w:rsidRPr="00A721CE">
        <w:rPr>
          <w:rStyle w:val="Strong"/>
          <w:rFonts w:ascii="Calibri" w:eastAsiaTheme="majorEastAsia" w:hAnsi="Calibri" w:cs="Calibri"/>
          <w:sz w:val="22"/>
          <w:szCs w:val="22"/>
        </w:rPr>
        <w:t>Biological Agents</w:t>
      </w:r>
      <w:r w:rsidRPr="00A721CE">
        <w:rPr>
          <w:rFonts w:ascii="Calibri" w:hAnsi="Calibri" w:cs="Calibri"/>
          <w:sz w:val="22"/>
          <w:szCs w:val="22"/>
        </w:rPr>
        <w:t xml:space="preserve">: </w:t>
      </w:r>
    </w:p>
    <w:p w14:paraId="230A641A" w14:textId="79402F9A" w:rsidR="00006FA4" w:rsidRPr="00A721CE" w:rsidRDefault="00865D12" w:rsidP="00006FA4">
      <w:pPr>
        <w:pStyle w:val="NormalWeb"/>
        <w:ind w:left="360"/>
        <w:jc w:val="both"/>
        <w:rPr>
          <w:rFonts w:ascii="Calibri" w:hAnsi="Calibri" w:cs="Calibri"/>
          <w:sz w:val="22"/>
          <w:szCs w:val="22"/>
        </w:rPr>
      </w:pPr>
      <w:r>
        <w:rPr>
          <w:rFonts w:ascii="Calibri" w:hAnsi="Calibri" w:cs="Calibri"/>
          <w:sz w:val="22"/>
          <w:szCs w:val="22"/>
        </w:rPr>
        <w:t xml:space="preserve"> </w:t>
      </w:r>
      <w:r w:rsidR="00006FA4" w:rsidRPr="00A721CE">
        <w:rPr>
          <w:rFonts w:ascii="Calibri" w:hAnsi="Calibri" w:cs="Calibri"/>
          <w:sz w:val="22"/>
          <w:szCs w:val="22"/>
        </w:rPr>
        <w:t>Microorganisms, toxins, or biological substances capable of causing disease, death, or harm to living organisms, including humans, animals, and plants.</w:t>
      </w:r>
    </w:p>
    <w:p w14:paraId="015D7438" w14:textId="77777777" w:rsidR="00865D12" w:rsidRDefault="00006FA4" w:rsidP="00006FA4">
      <w:pPr>
        <w:pStyle w:val="NormalWeb"/>
        <w:ind w:left="360"/>
        <w:jc w:val="both"/>
        <w:rPr>
          <w:rFonts w:ascii="Calibri" w:hAnsi="Calibri" w:cs="Calibri"/>
          <w:sz w:val="22"/>
          <w:szCs w:val="22"/>
        </w:rPr>
      </w:pPr>
      <w:r w:rsidRPr="00A721CE">
        <w:rPr>
          <w:rStyle w:val="Strong"/>
          <w:rFonts w:ascii="Calibri" w:eastAsiaTheme="majorEastAsia" w:hAnsi="Calibri" w:cs="Calibri"/>
          <w:sz w:val="22"/>
          <w:szCs w:val="22"/>
        </w:rPr>
        <w:t>Dual-Use Research</w:t>
      </w:r>
      <w:r w:rsidRPr="00A721CE">
        <w:rPr>
          <w:rFonts w:ascii="Calibri" w:hAnsi="Calibri" w:cs="Calibri"/>
          <w:sz w:val="22"/>
          <w:szCs w:val="22"/>
        </w:rPr>
        <w:t>:</w:t>
      </w:r>
    </w:p>
    <w:p w14:paraId="60AF1156" w14:textId="63EFCB77" w:rsidR="00006FA4" w:rsidRPr="00A721CE" w:rsidRDefault="00006FA4" w:rsidP="00006FA4">
      <w:pPr>
        <w:pStyle w:val="NormalWeb"/>
        <w:ind w:left="360"/>
        <w:jc w:val="both"/>
        <w:rPr>
          <w:rFonts w:ascii="Calibri" w:hAnsi="Calibri" w:cs="Calibri"/>
          <w:sz w:val="22"/>
          <w:szCs w:val="22"/>
        </w:rPr>
      </w:pPr>
      <w:r w:rsidRPr="00A721CE">
        <w:rPr>
          <w:rFonts w:ascii="Calibri" w:hAnsi="Calibri" w:cs="Calibri"/>
          <w:sz w:val="22"/>
          <w:szCs w:val="22"/>
        </w:rPr>
        <w:t xml:space="preserve"> Scientific research that has legitimate and beneficial purposes but could also be misused for harmful activities, such as the development of biological weapons.</w:t>
      </w:r>
    </w:p>
    <w:p w14:paraId="111DAB06" w14:textId="77777777" w:rsidR="00865D12" w:rsidRDefault="00006FA4" w:rsidP="00006FA4">
      <w:pPr>
        <w:pStyle w:val="NormalWeb"/>
        <w:ind w:left="360"/>
        <w:jc w:val="both"/>
        <w:rPr>
          <w:rFonts w:ascii="Calibri" w:hAnsi="Calibri" w:cs="Calibri"/>
          <w:sz w:val="22"/>
          <w:szCs w:val="22"/>
        </w:rPr>
      </w:pPr>
      <w:r w:rsidRPr="00A721CE">
        <w:rPr>
          <w:rStyle w:val="Strong"/>
          <w:rFonts w:ascii="Calibri" w:eastAsiaTheme="majorEastAsia" w:hAnsi="Calibri" w:cs="Calibri"/>
          <w:sz w:val="22"/>
          <w:szCs w:val="22"/>
        </w:rPr>
        <w:t>Pathogens</w:t>
      </w:r>
      <w:r w:rsidRPr="00A721CE">
        <w:rPr>
          <w:rFonts w:ascii="Calibri" w:hAnsi="Calibri" w:cs="Calibri"/>
          <w:sz w:val="22"/>
          <w:szCs w:val="22"/>
        </w:rPr>
        <w:t>:</w:t>
      </w:r>
    </w:p>
    <w:p w14:paraId="3738EC8E" w14:textId="75EC9BB0" w:rsidR="00006FA4" w:rsidRPr="00A721CE" w:rsidRDefault="00006FA4" w:rsidP="00006FA4">
      <w:pPr>
        <w:pStyle w:val="NormalWeb"/>
        <w:ind w:left="360"/>
        <w:jc w:val="both"/>
        <w:rPr>
          <w:rFonts w:ascii="Calibri" w:hAnsi="Calibri" w:cs="Calibri"/>
          <w:sz w:val="22"/>
          <w:szCs w:val="22"/>
        </w:rPr>
      </w:pPr>
      <w:r w:rsidRPr="00A721CE">
        <w:rPr>
          <w:rFonts w:ascii="Calibri" w:hAnsi="Calibri" w:cs="Calibri"/>
          <w:sz w:val="22"/>
          <w:szCs w:val="22"/>
        </w:rPr>
        <w:t xml:space="preserve"> Microorganisms, such as viruses, bacteria, or fungi, that cause disease.</w:t>
      </w:r>
    </w:p>
    <w:p w14:paraId="5F2BE427" w14:textId="77777777" w:rsidR="00865D12" w:rsidRDefault="00006FA4" w:rsidP="00006FA4">
      <w:pPr>
        <w:pStyle w:val="NormalWeb"/>
        <w:ind w:left="360"/>
        <w:jc w:val="both"/>
        <w:rPr>
          <w:rFonts w:ascii="Calibri" w:hAnsi="Calibri" w:cs="Calibri"/>
          <w:sz w:val="22"/>
          <w:szCs w:val="22"/>
        </w:rPr>
      </w:pPr>
      <w:r w:rsidRPr="00A721CE">
        <w:rPr>
          <w:rStyle w:val="Strong"/>
          <w:rFonts w:ascii="Calibri" w:eastAsiaTheme="majorEastAsia" w:hAnsi="Calibri" w:cs="Calibri"/>
          <w:sz w:val="22"/>
          <w:szCs w:val="22"/>
        </w:rPr>
        <w:t>Synthetic Biology</w:t>
      </w:r>
      <w:r w:rsidRPr="00A721CE">
        <w:rPr>
          <w:rFonts w:ascii="Calibri" w:hAnsi="Calibri" w:cs="Calibri"/>
          <w:sz w:val="22"/>
          <w:szCs w:val="22"/>
        </w:rPr>
        <w:t>:</w:t>
      </w:r>
    </w:p>
    <w:p w14:paraId="1DD7D509" w14:textId="3A36B0DD" w:rsidR="00006FA4" w:rsidRPr="00A721CE" w:rsidRDefault="00006FA4" w:rsidP="00006FA4">
      <w:pPr>
        <w:pStyle w:val="NormalWeb"/>
        <w:ind w:left="360"/>
        <w:jc w:val="both"/>
        <w:rPr>
          <w:rFonts w:ascii="Calibri" w:hAnsi="Calibri" w:cs="Calibri"/>
          <w:sz w:val="22"/>
          <w:szCs w:val="22"/>
        </w:rPr>
      </w:pPr>
      <w:r w:rsidRPr="00A721CE">
        <w:rPr>
          <w:rFonts w:ascii="Calibri" w:hAnsi="Calibri" w:cs="Calibri"/>
          <w:sz w:val="22"/>
          <w:szCs w:val="22"/>
        </w:rPr>
        <w:t xml:space="preserve"> A field of science that involves designing and constructing new biological parts, systems, or organisms, often used for beneficial purposes but also a potential tool for creating bioweapons.</w:t>
      </w:r>
    </w:p>
    <w:p w14:paraId="74F981CA" w14:textId="77777777" w:rsidR="00865D12" w:rsidRDefault="00006FA4" w:rsidP="00006FA4">
      <w:pPr>
        <w:pStyle w:val="NormalWeb"/>
        <w:ind w:left="360"/>
        <w:jc w:val="both"/>
        <w:rPr>
          <w:rFonts w:ascii="Calibri" w:hAnsi="Calibri" w:cs="Calibri"/>
          <w:sz w:val="22"/>
          <w:szCs w:val="22"/>
        </w:rPr>
      </w:pPr>
      <w:r w:rsidRPr="00A721CE">
        <w:rPr>
          <w:rStyle w:val="Strong"/>
          <w:rFonts w:ascii="Calibri" w:eastAsiaTheme="majorEastAsia" w:hAnsi="Calibri" w:cs="Calibri"/>
          <w:sz w:val="22"/>
          <w:szCs w:val="22"/>
        </w:rPr>
        <w:t>Genetic Engineering</w:t>
      </w:r>
      <w:r w:rsidRPr="00A721CE">
        <w:rPr>
          <w:rFonts w:ascii="Calibri" w:hAnsi="Calibri" w:cs="Calibri"/>
          <w:sz w:val="22"/>
          <w:szCs w:val="22"/>
        </w:rPr>
        <w:t>:</w:t>
      </w:r>
    </w:p>
    <w:p w14:paraId="7C147EC0" w14:textId="31DC8C27" w:rsidR="00006FA4" w:rsidRPr="00A721CE" w:rsidRDefault="00006FA4" w:rsidP="00006FA4">
      <w:pPr>
        <w:pStyle w:val="NormalWeb"/>
        <w:ind w:left="360"/>
        <w:jc w:val="both"/>
        <w:rPr>
          <w:rFonts w:ascii="Calibri" w:hAnsi="Calibri" w:cs="Calibri"/>
          <w:sz w:val="22"/>
          <w:szCs w:val="22"/>
        </w:rPr>
      </w:pPr>
      <w:r w:rsidRPr="00A721CE">
        <w:rPr>
          <w:rFonts w:ascii="Calibri" w:hAnsi="Calibri" w:cs="Calibri"/>
          <w:sz w:val="22"/>
          <w:szCs w:val="22"/>
        </w:rPr>
        <w:t xml:space="preserve"> The manipulation of an organism’s genetic material using biotechnology, which could be used for beneficial purposes (e.g., curing diseases) or for malicious activities (e.g., creating weaponized pathogens).</w:t>
      </w:r>
    </w:p>
    <w:p w14:paraId="32451A58" w14:textId="77777777" w:rsidR="00865D12" w:rsidRDefault="00006FA4" w:rsidP="00006FA4">
      <w:pPr>
        <w:pStyle w:val="NormalWeb"/>
        <w:ind w:left="360"/>
        <w:jc w:val="both"/>
        <w:rPr>
          <w:rFonts w:ascii="Calibri" w:hAnsi="Calibri" w:cs="Calibri"/>
          <w:sz w:val="22"/>
          <w:szCs w:val="22"/>
        </w:rPr>
      </w:pPr>
      <w:r w:rsidRPr="00A721CE">
        <w:rPr>
          <w:rStyle w:val="Strong"/>
          <w:rFonts w:ascii="Calibri" w:eastAsiaTheme="majorEastAsia" w:hAnsi="Calibri" w:cs="Calibri"/>
          <w:sz w:val="22"/>
          <w:szCs w:val="22"/>
        </w:rPr>
        <w:t>Biodefen</w:t>
      </w:r>
      <w:r w:rsidR="004F01AF">
        <w:rPr>
          <w:rStyle w:val="Strong"/>
          <w:rFonts w:ascii="Calibri" w:eastAsiaTheme="majorEastAsia" w:hAnsi="Calibri" w:cs="Calibri"/>
          <w:sz w:val="22"/>
          <w:szCs w:val="22"/>
        </w:rPr>
        <w:t>c</w:t>
      </w:r>
      <w:r w:rsidRPr="00A721CE">
        <w:rPr>
          <w:rStyle w:val="Strong"/>
          <w:rFonts w:ascii="Calibri" w:eastAsiaTheme="majorEastAsia" w:hAnsi="Calibri" w:cs="Calibri"/>
          <w:sz w:val="22"/>
          <w:szCs w:val="22"/>
        </w:rPr>
        <w:t>e</w:t>
      </w:r>
      <w:r w:rsidRPr="00A721CE">
        <w:rPr>
          <w:rFonts w:ascii="Calibri" w:hAnsi="Calibri" w:cs="Calibri"/>
          <w:sz w:val="22"/>
          <w:szCs w:val="22"/>
        </w:rPr>
        <w:t>:</w:t>
      </w:r>
    </w:p>
    <w:p w14:paraId="394F8CB4" w14:textId="22F5297B" w:rsidR="00006FA4" w:rsidRPr="00A721CE" w:rsidRDefault="00006FA4" w:rsidP="00006FA4">
      <w:pPr>
        <w:pStyle w:val="NormalWeb"/>
        <w:ind w:left="360"/>
        <w:jc w:val="both"/>
        <w:rPr>
          <w:rFonts w:ascii="Calibri" w:hAnsi="Calibri" w:cs="Calibri"/>
          <w:sz w:val="22"/>
          <w:szCs w:val="22"/>
        </w:rPr>
      </w:pPr>
      <w:r w:rsidRPr="00A721CE">
        <w:rPr>
          <w:rFonts w:ascii="Calibri" w:hAnsi="Calibri" w:cs="Calibri"/>
          <w:sz w:val="22"/>
          <w:szCs w:val="22"/>
        </w:rPr>
        <w:t xml:space="preserve"> Strategies, policies, and measures designed to detect, prevent, and respond to biological threats, including bioterrorism and pandemics.</w:t>
      </w:r>
    </w:p>
    <w:p w14:paraId="236F32CB" w14:textId="77777777" w:rsidR="00865D12" w:rsidRDefault="00006FA4" w:rsidP="00006FA4">
      <w:pPr>
        <w:pStyle w:val="NormalWeb"/>
        <w:ind w:left="360"/>
        <w:jc w:val="both"/>
        <w:rPr>
          <w:rFonts w:ascii="Calibri" w:hAnsi="Calibri" w:cs="Calibri"/>
          <w:sz w:val="22"/>
          <w:szCs w:val="22"/>
        </w:rPr>
      </w:pPr>
      <w:r w:rsidRPr="00A721CE">
        <w:rPr>
          <w:rStyle w:val="Strong"/>
          <w:rFonts w:ascii="Calibri" w:eastAsiaTheme="majorEastAsia" w:hAnsi="Calibri" w:cs="Calibri"/>
          <w:sz w:val="22"/>
          <w:szCs w:val="22"/>
        </w:rPr>
        <w:t>Surveillance Systems</w:t>
      </w:r>
      <w:r w:rsidRPr="00A721CE">
        <w:rPr>
          <w:rFonts w:ascii="Calibri" w:hAnsi="Calibri" w:cs="Calibri"/>
          <w:sz w:val="22"/>
          <w:szCs w:val="22"/>
        </w:rPr>
        <w:t>:</w:t>
      </w:r>
    </w:p>
    <w:p w14:paraId="3049F84A" w14:textId="45A69A03" w:rsidR="00006FA4" w:rsidRPr="00A721CE" w:rsidRDefault="00865D12" w:rsidP="00006FA4">
      <w:pPr>
        <w:pStyle w:val="NormalWeb"/>
        <w:ind w:left="360"/>
        <w:jc w:val="both"/>
        <w:rPr>
          <w:rFonts w:ascii="Calibri" w:hAnsi="Calibri" w:cs="Calibri"/>
          <w:sz w:val="22"/>
          <w:szCs w:val="22"/>
        </w:rPr>
      </w:pPr>
      <w:r>
        <w:rPr>
          <w:rFonts w:ascii="Calibri" w:hAnsi="Calibri" w:cs="Calibri"/>
          <w:sz w:val="22"/>
          <w:szCs w:val="22"/>
        </w:rPr>
        <w:t xml:space="preserve"> </w:t>
      </w:r>
      <w:r w:rsidR="00006FA4" w:rsidRPr="00A721CE">
        <w:rPr>
          <w:rFonts w:ascii="Calibri" w:hAnsi="Calibri" w:cs="Calibri"/>
          <w:sz w:val="22"/>
          <w:szCs w:val="22"/>
        </w:rPr>
        <w:t>Tools and networks used to monitor, detect, and respond to potential outbreaks or biological threats in real-time.</w:t>
      </w:r>
    </w:p>
    <w:p w14:paraId="1AA5A975" w14:textId="77777777" w:rsidR="00865D12" w:rsidRDefault="00006FA4" w:rsidP="00006FA4">
      <w:pPr>
        <w:pStyle w:val="NormalWeb"/>
        <w:ind w:left="360"/>
        <w:jc w:val="both"/>
        <w:rPr>
          <w:rFonts w:ascii="Calibri" w:hAnsi="Calibri" w:cs="Calibri"/>
          <w:sz w:val="22"/>
          <w:szCs w:val="22"/>
        </w:rPr>
      </w:pPr>
      <w:r w:rsidRPr="00A721CE">
        <w:rPr>
          <w:rStyle w:val="Strong"/>
          <w:rFonts w:ascii="Calibri" w:eastAsiaTheme="majorEastAsia" w:hAnsi="Calibri" w:cs="Calibri"/>
          <w:sz w:val="22"/>
          <w:szCs w:val="22"/>
        </w:rPr>
        <w:t xml:space="preserve"> Public Health Preparedness</w:t>
      </w:r>
      <w:r w:rsidRPr="00A721CE">
        <w:rPr>
          <w:rFonts w:ascii="Calibri" w:hAnsi="Calibri" w:cs="Calibri"/>
          <w:sz w:val="22"/>
          <w:szCs w:val="22"/>
        </w:rPr>
        <w:t>:</w:t>
      </w:r>
    </w:p>
    <w:p w14:paraId="09A976CC" w14:textId="7BFC5715" w:rsidR="00006FA4" w:rsidRPr="00A721CE" w:rsidRDefault="00006FA4" w:rsidP="00006FA4">
      <w:pPr>
        <w:pStyle w:val="NormalWeb"/>
        <w:ind w:left="360"/>
        <w:jc w:val="both"/>
        <w:rPr>
          <w:rFonts w:ascii="Calibri" w:hAnsi="Calibri" w:cs="Calibri"/>
          <w:sz w:val="22"/>
          <w:szCs w:val="22"/>
        </w:rPr>
      </w:pPr>
      <w:r w:rsidRPr="00A721CE">
        <w:rPr>
          <w:rFonts w:ascii="Calibri" w:hAnsi="Calibri" w:cs="Calibri"/>
          <w:sz w:val="22"/>
          <w:szCs w:val="22"/>
        </w:rPr>
        <w:t xml:space="preserve"> The capacity of healthcare systems, governments, and communities to prevent, respond to, and recover from biological incidents or outbreaks.</w:t>
      </w:r>
    </w:p>
    <w:p w14:paraId="43730719" w14:textId="77777777" w:rsidR="00865D12" w:rsidRDefault="00006FA4" w:rsidP="00006FA4">
      <w:pPr>
        <w:pStyle w:val="NormalWeb"/>
        <w:ind w:left="360"/>
        <w:jc w:val="both"/>
        <w:rPr>
          <w:rFonts w:ascii="Calibri" w:hAnsi="Calibri" w:cs="Calibri"/>
          <w:sz w:val="22"/>
          <w:szCs w:val="22"/>
        </w:rPr>
      </w:pPr>
      <w:r w:rsidRPr="00A721CE">
        <w:rPr>
          <w:rStyle w:val="Strong"/>
          <w:rFonts w:ascii="Calibri" w:eastAsiaTheme="majorEastAsia" w:hAnsi="Calibri" w:cs="Calibri"/>
          <w:sz w:val="22"/>
          <w:szCs w:val="22"/>
        </w:rPr>
        <w:t>Biological Weapons Convention (BWC)</w:t>
      </w:r>
      <w:r w:rsidRPr="00A721CE">
        <w:rPr>
          <w:rFonts w:ascii="Calibri" w:hAnsi="Calibri" w:cs="Calibri"/>
          <w:sz w:val="22"/>
          <w:szCs w:val="22"/>
        </w:rPr>
        <w:t>:</w:t>
      </w:r>
    </w:p>
    <w:p w14:paraId="453F2A7B" w14:textId="6062A579" w:rsidR="00006FA4" w:rsidRPr="00A721CE" w:rsidRDefault="00006FA4" w:rsidP="00006FA4">
      <w:pPr>
        <w:pStyle w:val="NormalWeb"/>
        <w:ind w:left="360"/>
        <w:jc w:val="both"/>
        <w:rPr>
          <w:rFonts w:ascii="Calibri" w:hAnsi="Calibri" w:cs="Calibri"/>
          <w:sz w:val="22"/>
          <w:szCs w:val="22"/>
        </w:rPr>
      </w:pPr>
      <w:r w:rsidRPr="00A721CE">
        <w:rPr>
          <w:rFonts w:ascii="Calibri" w:hAnsi="Calibri" w:cs="Calibri"/>
          <w:sz w:val="22"/>
          <w:szCs w:val="22"/>
        </w:rPr>
        <w:t xml:space="preserve"> An international treaty that prohibits the development, production, and stockpiling of biological and toxin weapons.</w:t>
      </w:r>
    </w:p>
    <w:p w14:paraId="7EA244AA" w14:textId="77777777" w:rsidR="00865D12" w:rsidRDefault="00006FA4" w:rsidP="00006FA4">
      <w:pPr>
        <w:pStyle w:val="NormalWeb"/>
        <w:ind w:left="360"/>
        <w:jc w:val="both"/>
        <w:rPr>
          <w:rFonts w:ascii="Calibri" w:hAnsi="Calibri" w:cs="Calibri"/>
          <w:sz w:val="22"/>
          <w:szCs w:val="22"/>
        </w:rPr>
      </w:pPr>
      <w:r w:rsidRPr="00A721CE">
        <w:rPr>
          <w:rStyle w:val="Strong"/>
          <w:rFonts w:ascii="Calibri" w:eastAsiaTheme="majorEastAsia" w:hAnsi="Calibri" w:cs="Calibri"/>
          <w:sz w:val="22"/>
          <w:szCs w:val="22"/>
        </w:rPr>
        <w:lastRenderedPageBreak/>
        <w:t>Pandemic</w:t>
      </w:r>
      <w:r w:rsidRPr="00A721CE">
        <w:rPr>
          <w:rFonts w:ascii="Calibri" w:hAnsi="Calibri" w:cs="Calibri"/>
          <w:sz w:val="22"/>
          <w:szCs w:val="22"/>
        </w:rPr>
        <w:t>:</w:t>
      </w:r>
    </w:p>
    <w:p w14:paraId="3FBF1C1B" w14:textId="2EE41264" w:rsidR="00006FA4" w:rsidRPr="00A721CE" w:rsidRDefault="00006FA4" w:rsidP="00006FA4">
      <w:pPr>
        <w:pStyle w:val="NormalWeb"/>
        <w:ind w:left="360"/>
        <w:jc w:val="both"/>
        <w:rPr>
          <w:rFonts w:ascii="Calibri" w:hAnsi="Calibri" w:cs="Calibri"/>
          <w:sz w:val="22"/>
          <w:szCs w:val="22"/>
        </w:rPr>
      </w:pPr>
      <w:r w:rsidRPr="00A721CE">
        <w:rPr>
          <w:rFonts w:ascii="Calibri" w:hAnsi="Calibri" w:cs="Calibri"/>
          <w:sz w:val="22"/>
          <w:szCs w:val="22"/>
        </w:rPr>
        <w:t xml:space="preserve"> A global outbreak of a disease that spreads across multiple countries, often serving as a reference point for understanding the potential scale of a bioterrorism event.</w:t>
      </w:r>
    </w:p>
    <w:p w14:paraId="2474FFD7" w14:textId="77777777" w:rsidR="00865D12" w:rsidRDefault="00006FA4" w:rsidP="00006FA4">
      <w:pPr>
        <w:pStyle w:val="NormalWeb"/>
        <w:ind w:left="360"/>
        <w:jc w:val="both"/>
        <w:rPr>
          <w:rFonts w:ascii="Calibri" w:hAnsi="Calibri" w:cs="Calibri"/>
          <w:sz w:val="22"/>
          <w:szCs w:val="22"/>
        </w:rPr>
      </w:pPr>
      <w:r w:rsidRPr="00A721CE">
        <w:rPr>
          <w:rStyle w:val="Strong"/>
          <w:rFonts w:ascii="Calibri" w:eastAsiaTheme="majorEastAsia" w:hAnsi="Calibri" w:cs="Calibri"/>
          <w:sz w:val="22"/>
          <w:szCs w:val="22"/>
        </w:rPr>
        <w:t>Biological Threat Spectrum</w:t>
      </w:r>
      <w:r w:rsidRPr="00A721CE">
        <w:rPr>
          <w:rFonts w:ascii="Calibri" w:hAnsi="Calibri" w:cs="Calibri"/>
          <w:sz w:val="22"/>
          <w:szCs w:val="22"/>
        </w:rPr>
        <w:t>:</w:t>
      </w:r>
    </w:p>
    <w:p w14:paraId="7C0340A7" w14:textId="323132C2" w:rsidR="00006FA4" w:rsidRPr="00A721CE" w:rsidRDefault="00006FA4" w:rsidP="00006FA4">
      <w:pPr>
        <w:pStyle w:val="NormalWeb"/>
        <w:ind w:left="360"/>
        <w:jc w:val="both"/>
        <w:rPr>
          <w:rFonts w:ascii="Calibri" w:hAnsi="Calibri" w:cs="Calibri"/>
          <w:sz w:val="22"/>
          <w:szCs w:val="22"/>
        </w:rPr>
      </w:pPr>
      <w:r w:rsidRPr="00A721CE">
        <w:rPr>
          <w:rFonts w:ascii="Calibri" w:hAnsi="Calibri" w:cs="Calibri"/>
          <w:sz w:val="22"/>
          <w:szCs w:val="22"/>
        </w:rPr>
        <w:t xml:space="preserve"> The range of biological risks, from natural outbreaks (e.g., pandemics) to intentional acts of bioterrorism.</w:t>
      </w:r>
    </w:p>
    <w:p w14:paraId="303CFAF1" w14:textId="7BAC63F9" w:rsidR="00F73A3A" w:rsidRPr="00893FFC" w:rsidRDefault="00F73A3A" w:rsidP="00E566ED">
      <w:pPr>
        <w:pStyle w:val="NormalWeb"/>
        <w:jc w:val="both"/>
        <w:rPr>
          <w:rFonts w:ascii="Calibri" w:hAnsi="Calibri" w:cs="Calibri"/>
          <w:b/>
          <w:bCs/>
          <w:sz w:val="28"/>
          <w:szCs w:val="28"/>
        </w:rPr>
      </w:pPr>
      <w:r w:rsidRPr="00893FFC">
        <w:rPr>
          <w:rFonts w:ascii="Calibri" w:hAnsi="Calibri" w:cs="Calibri"/>
          <w:b/>
          <w:bCs/>
          <w:sz w:val="28"/>
          <w:szCs w:val="28"/>
        </w:rPr>
        <w:t>General Overview:</w:t>
      </w:r>
    </w:p>
    <w:p w14:paraId="64B7D6AD" w14:textId="77777777" w:rsidR="003B512D" w:rsidRPr="00A721CE" w:rsidRDefault="003B512D" w:rsidP="00E566ED">
      <w:pPr>
        <w:pStyle w:val="NormalWeb"/>
        <w:jc w:val="both"/>
        <w:rPr>
          <w:rFonts w:ascii="Calibri" w:hAnsi="Calibri" w:cs="Calibri"/>
          <w:color w:val="000000"/>
          <w:sz w:val="22"/>
          <w:szCs w:val="22"/>
        </w:rPr>
      </w:pPr>
      <w:r w:rsidRPr="00A721CE">
        <w:rPr>
          <w:rFonts w:ascii="Calibri" w:hAnsi="Calibri" w:cs="Calibri"/>
          <w:color w:val="000000"/>
          <w:sz w:val="22"/>
          <w:szCs w:val="22"/>
        </w:rPr>
        <w:t xml:space="preserve">Bioterrorism represents a complex and significant threat to both global security and public health. </w:t>
      </w:r>
      <w:r w:rsidRPr="00A721CE">
        <w:rPr>
          <w:rFonts w:ascii="Calibri" w:hAnsi="Calibri" w:cs="Calibri"/>
          <w:sz w:val="22"/>
          <w:szCs w:val="22"/>
        </w:rPr>
        <w:t>Defined as the deliberate use of biological agents, such as bacteria, viruses, or toxins, to cause harm or disruption</w:t>
      </w:r>
      <w:r w:rsidRPr="00A721CE">
        <w:rPr>
          <w:rFonts w:ascii="Calibri" w:hAnsi="Calibri" w:cs="Calibri"/>
          <w:color w:val="000000"/>
          <w:sz w:val="22"/>
          <w:szCs w:val="22"/>
        </w:rPr>
        <w:t xml:space="preserve">. This form of terrorism is distinct from others due to its capacity for extensive, covert, and enduring effects. Recent advancements in biotechnology, particularly in genetic engineering and synthetic biology, have heightened this risk by facilitating the manipulation and creation of hazardous pathogens. While these scientific developments offer substantial benefits for medicine and agriculture, they simultaneously raise concerns regarding potential misuse, presenting a dual-use challenge. </w:t>
      </w:r>
    </w:p>
    <w:p w14:paraId="33578A32" w14:textId="77777777" w:rsidR="003B512D" w:rsidRPr="00A721CE" w:rsidRDefault="003B512D" w:rsidP="00E566ED">
      <w:pPr>
        <w:pStyle w:val="NormalWeb"/>
        <w:jc w:val="both"/>
        <w:rPr>
          <w:rFonts w:ascii="Calibri" w:hAnsi="Calibri" w:cs="Calibri"/>
          <w:color w:val="000000"/>
          <w:sz w:val="22"/>
          <w:szCs w:val="22"/>
        </w:rPr>
      </w:pPr>
      <w:r w:rsidRPr="00A721CE">
        <w:rPr>
          <w:rFonts w:ascii="Calibri" w:hAnsi="Calibri" w:cs="Calibri"/>
          <w:color w:val="000000"/>
          <w:sz w:val="22"/>
          <w:szCs w:val="22"/>
        </w:rPr>
        <w:t xml:space="preserve">Historical events, such as the anthrax attacks in the United States in 2001, highlight the severe risks associated with bioterrorism and the weaknesses present in public health and security infrastructures. These incidents exposed deficiencies in detection, preparedness, and response mechanisms, leading to initiatives aimed at enhancing biodefense capabilities. Nevertheless, the interconnectedness of today’s world continues to amplify vulnerabilities. The COVID-19 pandemic, although not a bioterrorism event, illustrated how swiftly a biological threat can traverse borders, overwhelming healthcare systems and disrupting economies. </w:t>
      </w:r>
    </w:p>
    <w:p w14:paraId="04922C16" w14:textId="4334DF46" w:rsidR="00212D03" w:rsidRPr="00A721CE" w:rsidRDefault="003B512D" w:rsidP="00212D03">
      <w:pPr>
        <w:pStyle w:val="NormalWeb"/>
        <w:jc w:val="both"/>
        <w:rPr>
          <w:rFonts w:ascii="Calibri" w:hAnsi="Calibri" w:cs="Calibri"/>
          <w:color w:val="000000"/>
          <w:sz w:val="22"/>
          <w:szCs w:val="22"/>
        </w:rPr>
      </w:pPr>
      <w:r w:rsidRPr="00A721CE">
        <w:rPr>
          <w:rFonts w:ascii="Calibri" w:hAnsi="Calibri" w:cs="Calibri"/>
          <w:color w:val="000000"/>
          <w:sz w:val="22"/>
          <w:szCs w:val="22"/>
        </w:rPr>
        <w:t xml:space="preserve">To effectively prevent and respond to bioterrorism, a proactive and multidisciplinary strategy is essential. This encompasses the establishment of robust surveillance systems for early threat detection, international cooperation for intelligence and resource sharing, and public-private partnerships to create technologies for rapid response. Additionally, reinforcing biosecurity protocols, regulating dual-use research, and promoting global agreements such as the Biological Weapons Convention (BWC) are vital. </w:t>
      </w:r>
      <w:r w:rsidR="00212D03" w:rsidRPr="00A721CE">
        <w:rPr>
          <w:rFonts w:ascii="Calibri" w:hAnsi="Calibri" w:cs="Calibri"/>
          <w:color w:val="000000"/>
          <w:sz w:val="22"/>
          <w:szCs w:val="22"/>
        </w:rPr>
        <w:t xml:space="preserve">International agreements, including the Biological Weapons Convention (BWC), establish a basis for combating bioterrorism; however, they necessitate updates and enhanced enforcement strategies to tackle emerging threats. Through the promotion of global collaboration, investment in cutting-edge technologies, and the development of robust public health and security infrastructures, countries can reduce the dangers posed by bioterrorism and protect the health and safety of their citizens. Public health preparedness is also essential to the effectiveness of bioterrorism response strategies. This encompasses the training of first responders, the maintenance of medical countermeasure stockpiles, and the enhancement of healthcare systems' capabilities to handle extensive outbreaks. Additionally, education and awareness initiatives can equip communities to identify and react to possible biological threats, thereby mitigating fear and misinformation </w:t>
      </w:r>
    </w:p>
    <w:p w14:paraId="2D1C8906" w14:textId="31EDA2FA" w:rsidR="00E566ED" w:rsidRPr="00A721CE" w:rsidRDefault="00212D03" w:rsidP="00212D03">
      <w:pPr>
        <w:pStyle w:val="NormalWeb"/>
        <w:jc w:val="both"/>
        <w:rPr>
          <w:rFonts w:ascii="Calibri" w:hAnsi="Calibri" w:cs="Calibri"/>
          <w:color w:val="000000"/>
          <w:sz w:val="22"/>
          <w:szCs w:val="22"/>
        </w:rPr>
      </w:pPr>
      <w:r w:rsidRPr="00A721CE">
        <w:rPr>
          <w:rFonts w:ascii="Calibri" w:hAnsi="Calibri" w:cs="Calibri"/>
          <w:color w:val="000000"/>
          <w:sz w:val="22"/>
          <w:szCs w:val="22"/>
        </w:rPr>
        <w:t>As the landscape of</w:t>
      </w:r>
      <w:r w:rsidRPr="00A721CE">
        <w:rPr>
          <w:rFonts w:ascii="Calibri" w:hAnsi="Calibri" w:cs="Calibri"/>
          <w:color w:val="000000"/>
          <w:sz w:val="22"/>
          <w:szCs w:val="22"/>
          <w:shd w:val="clear" w:color="auto" w:fill="F4F5F6"/>
        </w:rPr>
        <w:t>.</w:t>
      </w:r>
      <w:r w:rsidR="003B512D" w:rsidRPr="00A721CE">
        <w:rPr>
          <w:rFonts w:ascii="Calibri" w:hAnsi="Calibri" w:cs="Calibri"/>
          <w:color w:val="000000"/>
          <w:sz w:val="22"/>
          <w:szCs w:val="22"/>
        </w:rPr>
        <w:t xml:space="preserve">bioterrorism continues to change, it is imperative that strategies to combat and prevent it also evolve. The rise of new trends, including the application of artificial intelligence in the development of pathogens and the emergence of cyber-physical threats aimed at biotechnology </w:t>
      </w:r>
      <w:r w:rsidR="003B512D" w:rsidRPr="00A721CE">
        <w:rPr>
          <w:rFonts w:ascii="Calibri" w:hAnsi="Calibri" w:cs="Calibri"/>
          <w:color w:val="000000"/>
          <w:sz w:val="22"/>
          <w:szCs w:val="22"/>
        </w:rPr>
        <w:lastRenderedPageBreak/>
        <w:t>infrastructure, underscores the necessity of proactively addressing potential adversaries. Through investments in innovation, the promotion of collaborative efforts, and the establishment of robust systems, countries and international organizations can effectively reduce the risks associated with bioterrorism and work towards a more secure future.</w:t>
      </w:r>
    </w:p>
    <w:p w14:paraId="54102A88" w14:textId="6CEC570A" w:rsidR="003B512D" w:rsidRPr="00893FFC" w:rsidRDefault="003B512D" w:rsidP="00E566ED">
      <w:pPr>
        <w:pStyle w:val="NormalWeb"/>
        <w:jc w:val="both"/>
        <w:rPr>
          <w:rFonts w:ascii="Calibri" w:hAnsi="Calibri" w:cs="Calibri"/>
          <w:b/>
          <w:bCs/>
          <w:color w:val="000000"/>
          <w:sz w:val="28"/>
          <w:szCs w:val="28"/>
        </w:rPr>
      </w:pPr>
      <w:r w:rsidRPr="00893FFC">
        <w:rPr>
          <w:rFonts w:ascii="Calibri" w:hAnsi="Calibri" w:cs="Calibri"/>
          <w:b/>
          <w:bCs/>
          <w:color w:val="000000"/>
          <w:sz w:val="28"/>
          <w:szCs w:val="28"/>
        </w:rPr>
        <w:t>Major Parties Involved</w:t>
      </w:r>
    </w:p>
    <w:p w14:paraId="69BC8368" w14:textId="34BCD7A3" w:rsidR="0094263E" w:rsidRPr="00893FFC" w:rsidRDefault="0059605B" w:rsidP="0094263E">
      <w:pPr>
        <w:rPr>
          <w:rFonts w:ascii="Calibri" w:hAnsi="Calibri" w:cs="Calibri"/>
          <w:b/>
          <w:bCs/>
          <w:sz w:val="22"/>
          <w:szCs w:val="22"/>
        </w:rPr>
      </w:pPr>
      <w:r w:rsidRPr="00893FFC">
        <w:rPr>
          <w:rFonts w:ascii="Calibri" w:hAnsi="Calibri" w:cs="Calibri"/>
          <w:b/>
          <w:bCs/>
          <w:sz w:val="22"/>
          <w:szCs w:val="22"/>
        </w:rPr>
        <w:t>National Governments:</w:t>
      </w:r>
    </w:p>
    <w:p w14:paraId="3AA815D4" w14:textId="62859E94" w:rsidR="0059605B" w:rsidRPr="00A721CE" w:rsidRDefault="0059605B" w:rsidP="002A7229">
      <w:pPr>
        <w:rPr>
          <w:rFonts w:ascii="Calibri" w:hAnsi="Calibri" w:cs="Calibri"/>
          <w:sz w:val="22"/>
          <w:szCs w:val="22"/>
        </w:rPr>
      </w:pPr>
      <w:r w:rsidRPr="00A721CE">
        <w:rPr>
          <w:rFonts w:ascii="Calibri" w:hAnsi="Calibri" w:cs="Calibri"/>
          <w:sz w:val="22"/>
          <w:szCs w:val="22"/>
        </w:rPr>
        <w:t>They are responsible for creating policies, funding research and coordinating agencies for safegaurding against biological threats, making them primary actors in prevention of bioterrorism and response to it. These governments being responsible for roles such as developing biosecurity regulations and training first responders and healthcare professionals.</w:t>
      </w:r>
      <w:r w:rsidR="00B93CC9" w:rsidRPr="00A721CE">
        <w:rPr>
          <w:rFonts w:ascii="Calibri" w:hAnsi="Calibri" w:cs="Calibri"/>
          <w:sz w:val="22"/>
          <w:szCs w:val="22"/>
        </w:rPr>
        <w:t xml:space="preserve"> Such as the U.S. Department of Homeland Security (DHS) who oversee biodefense initiatives and the United Kingdom’s Centre for the Protection of National Infrastructure (CPNI)</w:t>
      </w:r>
      <w:r w:rsidR="00046CDF" w:rsidRPr="00A721CE">
        <w:rPr>
          <w:rFonts w:ascii="Calibri" w:hAnsi="Calibri" w:cs="Calibri"/>
          <w:sz w:val="22"/>
          <w:szCs w:val="22"/>
        </w:rPr>
        <w:t xml:space="preserve"> includes biosecurity in its critical protection strategy.</w:t>
      </w:r>
    </w:p>
    <w:p w14:paraId="0FC3BEF6" w14:textId="77777777" w:rsidR="00046CDF" w:rsidRPr="00A721CE" w:rsidRDefault="00046CDF" w:rsidP="0059605B">
      <w:pPr>
        <w:rPr>
          <w:rFonts w:ascii="Calibri" w:hAnsi="Calibri" w:cs="Calibri"/>
          <w:sz w:val="22"/>
          <w:szCs w:val="22"/>
        </w:rPr>
      </w:pPr>
    </w:p>
    <w:p w14:paraId="697963EF" w14:textId="3B2183A2" w:rsidR="0059605B" w:rsidRPr="00893FFC" w:rsidRDefault="0059605B" w:rsidP="0059605B">
      <w:pPr>
        <w:rPr>
          <w:rFonts w:ascii="Calibri" w:hAnsi="Calibri" w:cs="Calibri"/>
          <w:b/>
          <w:bCs/>
          <w:sz w:val="22"/>
          <w:szCs w:val="22"/>
        </w:rPr>
      </w:pPr>
      <w:r w:rsidRPr="00893FFC">
        <w:rPr>
          <w:rFonts w:ascii="Calibri" w:hAnsi="Calibri" w:cs="Calibri"/>
          <w:b/>
          <w:bCs/>
          <w:sz w:val="22"/>
          <w:szCs w:val="22"/>
        </w:rPr>
        <w:t>International organisations</w:t>
      </w:r>
      <w:r w:rsidR="00B93CC9" w:rsidRPr="00893FFC">
        <w:rPr>
          <w:rFonts w:ascii="Calibri" w:hAnsi="Calibri" w:cs="Calibri"/>
          <w:b/>
          <w:bCs/>
          <w:sz w:val="22"/>
          <w:szCs w:val="22"/>
        </w:rPr>
        <w:t xml:space="preserve"> (IGOs)</w:t>
      </w:r>
      <w:r w:rsidRPr="00893FFC">
        <w:rPr>
          <w:rFonts w:ascii="Calibri" w:hAnsi="Calibri" w:cs="Calibri"/>
          <w:b/>
          <w:bCs/>
          <w:sz w:val="22"/>
          <w:szCs w:val="22"/>
        </w:rPr>
        <w:t>:</w:t>
      </w:r>
    </w:p>
    <w:p w14:paraId="5DAF2BD9" w14:textId="6C09D86C" w:rsidR="0059605B" w:rsidRPr="00A721CE" w:rsidRDefault="00B93CC9" w:rsidP="0059605B">
      <w:pPr>
        <w:rPr>
          <w:rFonts w:ascii="Calibri" w:hAnsi="Calibri" w:cs="Calibri"/>
          <w:sz w:val="22"/>
          <w:szCs w:val="22"/>
        </w:rPr>
      </w:pPr>
      <w:r w:rsidRPr="00A721CE">
        <w:rPr>
          <w:rFonts w:ascii="Calibri" w:hAnsi="Calibri" w:cs="Calibri"/>
          <w:sz w:val="22"/>
          <w:szCs w:val="22"/>
        </w:rPr>
        <w:t xml:space="preserve">With global collaboration being vital for such an issue which goes beyond borders, these international organisations facilitate cooperation, providing resources and aid in the establishment of frameworks to prevent and respond to biological threats. These organisations include the World Health Organistation (WHO) who coordinate outbreak responses and global health preparedness, as well as offering technichal assistance; the Unites Nations Office for Dissarmament Affairs (UNODA) who oversee the implementation of the Biological Weapons Convention (BWC) and works towards preventing the proliferation of biological weapons; INTERPOL who support international law enforcement efforts to prevent and investigate bioterrorism incidents; and The Global Health Security Agenda (GHSA) who are a partnership of countries working together to strengthen global capacity to prevent, detect and respond to biological threats. </w:t>
      </w:r>
    </w:p>
    <w:p w14:paraId="4331B8A0" w14:textId="47316DE2" w:rsidR="00046CDF" w:rsidRPr="00046CDF" w:rsidRDefault="00046CDF" w:rsidP="00046CDF">
      <w:pPr>
        <w:spacing w:before="100" w:beforeAutospacing="1" w:after="100" w:afterAutospacing="1" w:line="240" w:lineRule="auto"/>
        <w:outlineLvl w:val="3"/>
        <w:rPr>
          <w:rFonts w:ascii="Calibri" w:eastAsia="Times New Roman" w:hAnsi="Calibri" w:cs="Calibri"/>
          <w:b/>
          <w:bCs/>
          <w:kern w:val="0"/>
          <w:sz w:val="22"/>
          <w:szCs w:val="22"/>
          <w14:ligatures w14:val="none"/>
        </w:rPr>
      </w:pPr>
      <w:r w:rsidRPr="00046CDF">
        <w:rPr>
          <w:rFonts w:ascii="Calibri" w:eastAsia="Times New Roman" w:hAnsi="Calibri" w:cs="Calibri"/>
          <w:b/>
          <w:bCs/>
          <w:kern w:val="0"/>
          <w:sz w:val="22"/>
          <w:szCs w:val="22"/>
          <w14:ligatures w14:val="none"/>
        </w:rPr>
        <w:t>Academic and Research Institutions</w:t>
      </w:r>
      <w:r w:rsidR="00A721CE" w:rsidRPr="00893FFC">
        <w:rPr>
          <w:rFonts w:ascii="Calibri" w:eastAsia="Times New Roman" w:hAnsi="Calibri" w:cs="Calibri"/>
          <w:b/>
          <w:bCs/>
          <w:kern w:val="0"/>
          <w:sz w:val="22"/>
          <w:szCs w:val="22"/>
          <w14:ligatures w14:val="none"/>
        </w:rPr>
        <w:t>:</w:t>
      </w:r>
    </w:p>
    <w:p w14:paraId="6584BA33" w14:textId="18DD5A78" w:rsidR="00046CDF" w:rsidRDefault="00046CDF" w:rsidP="00046CDF">
      <w:pPr>
        <w:spacing w:before="100" w:beforeAutospacing="1" w:after="100" w:afterAutospacing="1" w:line="240" w:lineRule="auto"/>
        <w:rPr>
          <w:rFonts w:ascii="Calibri" w:eastAsia="Times New Roman" w:hAnsi="Calibri" w:cs="Calibri"/>
          <w:kern w:val="0"/>
          <w:sz w:val="22"/>
          <w:szCs w:val="22"/>
          <w14:ligatures w14:val="none"/>
        </w:rPr>
      </w:pPr>
      <w:r w:rsidRPr="00046CDF">
        <w:rPr>
          <w:rFonts w:ascii="Calibri" w:eastAsia="Times New Roman" w:hAnsi="Calibri" w:cs="Calibri"/>
          <w:kern w:val="0"/>
          <w:sz w:val="22"/>
          <w:szCs w:val="22"/>
          <w14:ligatures w14:val="none"/>
        </w:rPr>
        <w:t>Universities and research organizations play a vital role in advancing knowledge about biological agents, developing medical countermeasures, and identifying vulnerabilities in biosecurity systems.</w:t>
      </w:r>
      <w:r w:rsidRPr="00A721CE">
        <w:rPr>
          <w:rFonts w:ascii="Calibri" w:eastAsia="Times New Roman" w:hAnsi="Calibri" w:cs="Calibri"/>
          <w:kern w:val="0"/>
          <w:sz w:val="22"/>
          <w:szCs w:val="22"/>
          <w14:ligatures w14:val="none"/>
        </w:rPr>
        <w:t xml:space="preserve"> They conduct research on pathogensand toxins for detection</w:t>
      </w:r>
      <w:r w:rsidR="00A721CE" w:rsidRPr="00A721CE">
        <w:rPr>
          <w:rFonts w:ascii="Calibri" w:eastAsia="Times New Roman" w:hAnsi="Calibri" w:cs="Calibri"/>
          <w:kern w:val="0"/>
          <w:sz w:val="22"/>
          <w:szCs w:val="22"/>
          <w14:ligatures w14:val="none"/>
        </w:rPr>
        <w:t>,diagnosis and treatment; assess risks associated with dual use research and synthetic biology; and develop guidelines and ethical standards for research. Examples of such institutions would be the National Institute of Allergy and Infectios Diseases (NIAIID) in the U.S. who fund research on infectious diseases and biodefence and the Wellcome Trust suppports global research on health security threats, including bioterrorism.</w:t>
      </w:r>
    </w:p>
    <w:p w14:paraId="367DA45F" w14:textId="77777777" w:rsidR="00A721CE" w:rsidRPr="00A721CE" w:rsidRDefault="00A721CE" w:rsidP="00A721CE">
      <w:pPr>
        <w:spacing w:before="100" w:beforeAutospacing="1" w:after="100" w:afterAutospacing="1" w:line="240" w:lineRule="auto"/>
        <w:outlineLvl w:val="3"/>
        <w:rPr>
          <w:rFonts w:ascii="Calibri" w:eastAsia="Times New Roman" w:hAnsi="Calibri" w:cs="Calibri"/>
          <w:b/>
          <w:bCs/>
          <w:kern w:val="0"/>
          <w:sz w:val="22"/>
          <w:szCs w:val="22"/>
          <w14:ligatures w14:val="none"/>
        </w:rPr>
      </w:pPr>
      <w:r w:rsidRPr="00A721CE">
        <w:rPr>
          <w:rFonts w:ascii="Calibri" w:eastAsia="Times New Roman" w:hAnsi="Calibri" w:cs="Calibri"/>
          <w:b/>
          <w:bCs/>
          <w:kern w:val="0"/>
          <w:sz w:val="22"/>
          <w:szCs w:val="22"/>
          <w14:ligatures w14:val="none"/>
        </w:rPr>
        <w:t>Private Sector and Biotechnology Companies</w:t>
      </w:r>
    </w:p>
    <w:p w14:paraId="59B1976F" w14:textId="5DCE506E" w:rsidR="00A721CE" w:rsidRPr="00A721CE" w:rsidRDefault="00A721CE" w:rsidP="00A721CE">
      <w:pPr>
        <w:spacing w:before="100" w:beforeAutospacing="1" w:after="100" w:afterAutospacing="1" w:line="240" w:lineRule="auto"/>
        <w:rPr>
          <w:rFonts w:ascii="Calibri" w:eastAsia="Times New Roman" w:hAnsi="Calibri" w:cs="Calibri"/>
          <w:kern w:val="0"/>
          <w:sz w:val="22"/>
          <w:szCs w:val="22"/>
          <w14:ligatures w14:val="none"/>
        </w:rPr>
      </w:pPr>
      <w:r w:rsidRPr="00A721CE">
        <w:rPr>
          <w:rFonts w:ascii="Calibri" w:eastAsia="Times New Roman" w:hAnsi="Calibri" w:cs="Calibri"/>
          <w:kern w:val="0"/>
          <w:sz w:val="22"/>
          <w:szCs w:val="22"/>
          <w14:ligatures w14:val="none"/>
        </w:rPr>
        <w:t>Private companies are critical for developing technologies, diagnostics, and medical countermeasures needed to detect, prevent, and respond to biological threats</w:t>
      </w:r>
      <w:r w:rsidRPr="00C811AB">
        <w:rPr>
          <w:rFonts w:ascii="Calibri" w:eastAsia="Times New Roman" w:hAnsi="Calibri" w:cs="Calibri"/>
          <w:kern w:val="0"/>
          <w:sz w:val="22"/>
          <w:szCs w:val="22"/>
          <w14:ligatures w14:val="none"/>
        </w:rPr>
        <w:t xml:space="preserve"> and</w:t>
      </w:r>
      <w:r w:rsidRPr="00A721CE">
        <w:rPr>
          <w:rFonts w:ascii="Calibri" w:eastAsia="Times New Roman" w:hAnsi="Calibri" w:cs="Calibri"/>
          <w:kern w:val="0"/>
          <w:sz w:val="22"/>
          <w:szCs w:val="22"/>
          <w14:ligatures w14:val="none"/>
        </w:rPr>
        <w:t xml:space="preserve"> are also responsible for safeguarding sensitive technologies from misuse.</w:t>
      </w:r>
      <w:r w:rsidRPr="00C811AB">
        <w:rPr>
          <w:rFonts w:ascii="Calibri" w:eastAsia="Times New Roman" w:hAnsi="Calibri" w:cs="Calibri"/>
          <w:kern w:val="0"/>
          <w:sz w:val="22"/>
          <w:szCs w:val="22"/>
          <w14:ligatures w14:val="none"/>
        </w:rPr>
        <w:t xml:space="preserve"> They p</w:t>
      </w:r>
      <w:r w:rsidRPr="00A721CE">
        <w:rPr>
          <w:rFonts w:ascii="Calibri" w:eastAsia="Times New Roman" w:hAnsi="Calibri" w:cs="Calibri"/>
          <w:kern w:val="0"/>
          <w:sz w:val="22"/>
          <w:szCs w:val="22"/>
          <w14:ligatures w14:val="none"/>
        </w:rPr>
        <w:t>roduc</w:t>
      </w:r>
      <w:r w:rsidRPr="00C811AB">
        <w:rPr>
          <w:rFonts w:ascii="Calibri" w:eastAsia="Times New Roman" w:hAnsi="Calibri" w:cs="Calibri"/>
          <w:kern w:val="0"/>
          <w:sz w:val="22"/>
          <w:szCs w:val="22"/>
          <w14:ligatures w14:val="none"/>
        </w:rPr>
        <w:t>e</w:t>
      </w:r>
      <w:r w:rsidRPr="00A721CE">
        <w:rPr>
          <w:rFonts w:ascii="Calibri" w:eastAsia="Times New Roman" w:hAnsi="Calibri" w:cs="Calibri"/>
          <w:kern w:val="0"/>
          <w:sz w:val="22"/>
          <w:szCs w:val="22"/>
          <w14:ligatures w14:val="none"/>
        </w:rPr>
        <w:t xml:space="preserve"> vaccines, therapeutics, and diagnostic tools</w:t>
      </w:r>
      <w:r w:rsidRPr="00C811AB">
        <w:rPr>
          <w:rFonts w:ascii="Calibri" w:eastAsia="Times New Roman" w:hAnsi="Calibri" w:cs="Calibri"/>
          <w:kern w:val="0"/>
          <w:sz w:val="22"/>
          <w:szCs w:val="22"/>
          <w14:ligatures w14:val="none"/>
        </w:rPr>
        <w:t>, e</w:t>
      </w:r>
      <w:r w:rsidRPr="00A721CE">
        <w:rPr>
          <w:rFonts w:ascii="Calibri" w:eastAsia="Times New Roman" w:hAnsi="Calibri" w:cs="Calibri"/>
          <w:kern w:val="0"/>
          <w:sz w:val="22"/>
          <w:szCs w:val="22"/>
          <w14:ligatures w14:val="none"/>
        </w:rPr>
        <w:t>nhanc</w:t>
      </w:r>
      <w:r w:rsidRPr="00C811AB">
        <w:rPr>
          <w:rFonts w:ascii="Calibri" w:eastAsia="Times New Roman" w:hAnsi="Calibri" w:cs="Calibri"/>
          <w:kern w:val="0"/>
          <w:sz w:val="22"/>
          <w:szCs w:val="22"/>
          <w14:ligatures w14:val="none"/>
        </w:rPr>
        <w:t>e</w:t>
      </w:r>
      <w:r w:rsidRPr="00A721CE">
        <w:rPr>
          <w:rFonts w:ascii="Calibri" w:eastAsia="Times New Roman" w:hAnsi="Calibri" w:cs="Calibri"/>
          <w:kern w:val="0"/>
          <w:sz w:val="22"/>
          <w:szCs w:val="22"/>
          <w14:ligatures w14:val="none"/>
        </w:rPr>
        <w:t xml:space="preserve"> </w:t>
      </w:r>
      <w:r w:rsidRPr="00A721CE">
        <w:rPr>
          <w:rFonts w:ascii="Calibri" w:eastAsia="Times New Roman" w:hAnsi="Calibri" w:cs="Calibri"/>
          <w:kern w:val="0"/>
          <w:sz w:val="22"/>
          <w:szCs w:val="22"/>
          <w14:ligatures w14:val="none"/>
        </w:rPr>
        <w:lastRenderedPageBreak/>
        <w:t>biosecurity in research and manufacturing facilities</w:t>
      </w:r>
      <w:r w:rsidRPr="00C811AB">
        <w:rPr>
          <w:rFonts w:ascii="Calibri" w:eastAsia="Times New Roman" w:hAnsi="Calibri" w:cs="Calibri"/>
          <w:kern w:val="0"/>
          <w:sz w:val="22"/>
          <w:szCs w:val="22"/>
          <w14:ligatures w14:val="none"/>
        </w:rPr>
        <w:t xml:space="preserve"> and c</w:t>
      </w:r>
      <w:r w:rsidRPr="00A721CE">
        <w:rPr>
          <w:rFonts w:ascii="Calibri" w:eastAsia="Times New Roman" w:hAnsi="Calibri" w:cs="Calibri"/>
          <w:kern w:val="0"/>
          <w:sz w:val="22"/>
          <w:szCs w:val="22"/>
          <w14:ligatures w14:val="none"/>
        </w:rPr>
        <w:t>ollaborat</w:t>
      </w:r>
      <w:r w:rsidRPr="00C811AB">
        <w:rPr>
          <w:rFonts w:ascii="Calibri" w:eastAsia="Times New Roman" w:hAnsi="Calibri" w:cs="Calibri"/>
          <w:kern w:val="0"/>
          <w:sz w:val="22"/>
          <w:szCs w:val="22"/>
          <w14:ligatures w14:val="none"/>
        </w:rPr>
        <w:t>e</w:t>
      </w:r>
      <w:r w:rsidRPr="00A721CE">
        <w:rPr>
          <w:rFonts w:ascii="Calibri" w:eastAsia="Times New Roman" w:hAnsi="Calibri" w:cs="Calibri"/>
          <w:kern w:val="0"/>
          <w:sz w:val="22"/>
          <w:szCs w:val="22"/>
          <w14:ligatures w14:val="none"/>
        </w:rPr>
        <w:t xml:space="preserve"> with governments and international organizations in public-private partnerships.</w:t>
      </w:r>
      <w:r w:rsidRPr="00C811AB">
        <w:rPr>
          <w:rFonts w:ascii="Calibri" w:eastAsia="Times New Roman" w:hAnsi="Calibri" w:cs="Calibri"/>
          <w:kern w:val="0"/>
          <w:sz w:val="22"/>
          <w:szCs w:val="22"/>
          <w14:ligatures w14:val="none"/>
        </w:rPr>
        <w:t xml:space="preserve"> These are companies such as Moderna and Pfizer who have developed mRNA technology, which can easily be adapted for bioterrorism countermeasures, and </w:t>
      </w:r>
      <w:r w:rsidR="00C811AB" w:rsidRPr="00C811AB">
        <w:rPr>
          <w:rFonts w:ascii="Calibri" w:hAnsi="Calibri" w:cs="Calibri"/>
          <w:sz w:val="22"/>
          <w:szCs w:val="22"/>
        </w:rPr>
        <w:t>b</w:t>
      </w:r>
      <w:r w:rsidR="00C811AB" w:rsidRPr="00C811AB">
        <w:rPr>
          <w:rFonts w:ascii="Calibri" w:hAnsi="Calibri" w:cs="Calibri"/>
          <w:sz w:val="22"/>
          <w:szCs w:val="22"/>
        </w:rPr>
        <w:t>ioWatch, a U.S. program operated in collaboration with the private sector</w:t>
      </w:r>
      <w:r w:rsidR="00C811AB" w:rsidRPr="00C811AB">
        <w:rPr>
          <w:rFonts w:ascii="Calibri" w:hAnsi="Calibri" w:cs="Calibri"/>
          <w:sz w:val="22"/>
          <w:szCs w:val="22"/>
        </w:rPr>
        <w:t xml:space="preserve"> that </w:t>
      </w:r>
      <w:r w:rsidR="00C811AB" w:rsidRPr="00C811AB">
        <w:rPr>
          <w:rFonts w:ascii="Calibri" w:hAnsi="Calibri" w:cs="Calibri"/>
          <w:sz w:val="22"/>
          <w:szCs w:val="22"/>
        </w:rPr>
        <w:t>uses environmental sensors to detect biological agents.</w:t>
      </w:r>
    </w:p>
    <w:p w14:paraId="108E0002" w14:textId="77777777" w:rsidR="00C811AB" w:rsidRPr="00C811AB" w:rsidRDefault="00C811AB" w:rsidP="00C811AB">
      <w:pPr>
        <w:spacing w:before="100" w:beforeAutospacing="1" w:after="100" w:afterAutospacing="1" w:line="240" w:lineRule="auto"/>
        <w:outlineLvl w:val="3"/>
        <w:rPr>
          <w:rFonts w:ascii="Calibri" w:eastAsia="Times New Roman" w:hAnsi="Calibri" w:cs="Calibri"/>
          <w:b/>
          <w:bCs/>
          <w:kern w:val="0"/>
          <w:sz w:val="22"/>
          <w:szCs w:val="22"/>
          <w14:ligatures w14:val="none"/>
        </w:rPr>
      </w:pPr>
      <w:r w:rsidRPr="00C811AB">
        <w:rPr>
          <w:rFonts w:ascii="Calibri" w:eastAsia="Times New Roman" w:hAnsi="Calibri" w:cs="Calibri"/>
          <w:b/>
          <w:bCs/>
          <w:kern w:val="0"/>
          <w:sz w:val="22"/>
          <w:szCs w:val="22"/>
          <w14:ligatures w14:val="none"/>
        </w:rPr>
        <w:t>Non-Governmental Organizations (NGOs) and Advocacy Groups</w:t>
      </w:r>
    </w:p>
    <w:p w14:paraId="32A309DF" w14:textId="1678F169" w:rsidR="00C811AB" w:rsidRPr="00C811AB" w:rsidRDefault="00C811AB" w:rsidP="00C811AB">
      <w:pPr>
        <w:spacing w:before="100" w:beforeAutospacing="1" w:after="100" w:afterAutospacing="1" w:line="240" w:lineRule="auto"/>
        <w:rPr>
          <w:rFonts w:ascii="Calibri" w:eastAsia="Times New Roman" w:hAnsi="Calibri" w:cs="Calibri"/>
          <w:kern w:val="0"/>
          <w:sz w:val="22"/>
          <w:szCs w:val="22"/>
          <w14:ligatures w14:val="none"/>
        </w:rPr>
      </w:pPr>
      <w:r w:rsidRPr="00C811AB">
        <w:rPr>
          <w:rFonts w:ascii="Calibri" w:eastAsia="Times New Roman" w:hAnsi="Calibri" w:cs="Calibri"/>
          <w:kern w:val="0"/>
          <w:sz w:val="22"/>
          <w:szCs w:val="22"/>
          <w14:ligatures w14:val="none"/>
        </w:rPr>
        <w:t>NGOs and advocacy organizations raise awareness, provide expertise, and push for stronger policies to prevent and respond to bioterrorism.</w:t>
      </w:r>
      <w:r w:rsidRPr="00C811AB">
        <w:rPr>
          <w:rFonts w:ascii="Calibri" w:eastAsia="Times New Roman" w:hAnsi="Calibri" w:cs="Calibri"/>
          <w:kern w:val="0"/>
          <w:sz w:val="22"/>
          <w:szCs w:val="22"/>
          <w14:ligatures w14:val="none"/>
        </w:rPr>
        <w:t xml:space="preserve"> They </w:t>
      </w:r>
      <w:r w:rsidRPr="00C811AB">
        <w:rPr>
          <w:rFonts w:ascii="Calibri" w:hAnsi="Calibri" w:cs="Calibri"/>
          <w:sz w:val="22"/>
          <w:szCs w:val="22"/>
        </w:rPr>
        <w:t>promote</w:t>
      </w:r>
      <w:r w:rsidRPr="00C811AB">
        <w:rPr>
          <w:rFonts w:ascii="Calibri" w:hAnsi="Calibri" w:cs="Calibri"/>
          <w:sz w:val="22"/>
          <w:szCs w:val="22"/>
        </w:rPr>
        <w:t xml:space="preserve"> biosecurity and public health preparedness</w:t>
      </w:r>
      <w:r w:rsidRPr="00C811AB">
        <w:rPr>
          <w:rFonts w:ascii="Calibri" w:hAnsi="Calibri" w:cs="Calibri"/>
          <w:sz w:val="22"/>
          <w:szCs w:val="22"/>
        </w:rPr>
        <w:t>, a</w:t>
      </w:r>
      <w:r w:rsidRPr="00C811AB">
        <w:rPr>
          <w:rFonts w:ascii="Calibri" w:hAnsi="Calibri" w:cs="Calibri"/>
          <w:sz w:val="22"/>
          <w:szCs w:val="22"/>
        </w:rPr>
        <w:t>ssis</w:t>
      </w:r>
      <w:r w:rsidRPr="00C811AB">
        <w:rPr>
          <w:rFonts w:ascii="Calibri" w:hAnsi="Calibri" w:cs="Calibri"/>
          <w:sz w:val="22"/>
          <w:szCs w:val="22"/>
        </w:rPr>
        <w:t>t</w:t>
      </w:r>
      <w:r w:rsidRPr="00C811AB">
        <w:rPr>
          <w:rFonts w:ascii="Calibri" w:hAnsi="Calibri" w:cs="Calibri"/>
          <w:sz w:val="22"/>
          <w:szCs w:val="22"/>
        </w:rPr>
        <w:t xml:space="preserve"> in capacity-building initiatives in low-resource countries</w:t>
      </w:r>
      <w:r w:rsidRPr="00C811AB">
        <w:rPr>
          <w:rFonts w:ascii="Calibri" w:hAnsi="Calibri" w:cs="Calibri"/>
          <w:sz w:val="22"/>
          <w:szCs w:val="22"/>
        </w:rPr>
        <w:t xml:space="preserve"> and advocate for responsible scientific practises and international cooperation. Examples of such NGOs would be the Nuclear Threat Initiative (NTI) who focus on reducing biological risks and enhancing global health security and the International Federation of Biosafety Assosiations (IFBA) who promote best practices in biosecurity and cybersecurity globally.</w:t>
      </w:r>
    </w:p>
    <w:p w14:paraId="73922207" w14:textId="77777777" w:rsidR="00893FFC" w:rsidRDefault="00893FFC" w:rsidP="00E566ED">
      <w:pPr>
        <w:pStyle w:val="NormalWeb"/>
        <w:jc w:val="both"/>
        <w:rPr>
          <w:rFonts w:ascii="Calibri" w:hAnsi="Calibri" w:cs="Calibri"/>
          <w:b/>
          <w:bCs/>
          <w:color w:val="000000"/>
          <w:sz w:val="28"/>
          <w:szCs w:val="28"/>
        </w:rPr>
      </w:pPr>
    </w:p>
    <w:p w14:paraId="020B1459" w14:textId="77777777" w:rsidR="00893FFC" w:rsidRDefault="00893FFC" w:rsidP="00E566ED">
      <w:pPr>
        <w:pStyle w:val="NormalWeb"/>
        <w:jc w:val="both"/>
        <w:rPr>
          <w:rFonts w:ascii="Calibri" w:hAnsi="Calibri" w:cs="Calibri"/>
          <w:b/>
          <w:bCs/>
          <w:color w:val="000000"/>
          <w:sz w:val="28"/>
          <w:szCs w:val="28"/>
        </w:rPr>
      </w:pPr>
    </w:p>
    <w:p w14:paraId="08645C32" w14:textId="48305A75" w:rsidR="0094263E" w:rsidRPr="00893FFC" w:rsidRDefault="00893FFC" w:rsidP="00E566ED">
      <w:pPr>
        <w:pStyle w:val="NormalWeb"/>
        <w:jc w:val="both"/>
        <w:rPr>
          <w:rFonts w:ascii="Calibri" w:hAnsi="Calibri" w:cs="Calibri"/>
          <w:color w:val="000000"/>
          <w:sz w:val="28"/>
          <w:szCs w:val="28"/>
        </w:rPr>
      </w:pPr>
      <w:r w:rsidRPr="00893FFC">
        <w:rPr>
          <w:rFonts w:ascii="Calibri" w:hAnsi="Calibri" w:cs="Calibri"/>
          <w:b/>
          <w:bCs/>
          <w:color w:val="000000"/>
          <w:sz w:val="28"/>
          <w:szCs w:val="28"/>
        </w:rPr>
        <w:t>Timeline of Key Events</w:t>
      </w:r>
    </w:p>
    <w:tbl>
      <w:tblPr>
        <w:tblStyle w:val="TableGrid"/>
        <w:tblW w:w="9380" w:type="dxa"/>
        <w:tblLook w:val="04A0" w:firstRow="1" w:lastRow="0" w:firstColumn="1" w:lastColumn="0" w:noHBand="0" w:noVBand="1"/>
      </w:tblPr>
      <w:tblGrid>
        <w:gridCol w:w="1986"/>
        <w:gridCol w:w="7394"/>
      </w:tblGrid>
      <w:tr w:rsidR="00893FFC" w14:paraId="5DC4F80E" w14:textId="77777777" w:rsidTr="002A7229">
        <w:trPr>
          <w:trHeight w:val="297"/>
        </w:trPr>
        <w:tc>
          <w:tcPr>
            <w:tcW w:w="1986" w:type="dxa"/>
          </w:tcPr>
          <w:p w14:paraId="05E2BA22" w14:textId="6CBE51E6" w:rsidR="00893FFC" w:rsidRDefault="00893FFC" w:rsidP="00893FFC">
            <w:pPr>
              <w:pStyle w:val="NormalWeb"/>
              <w:jc w:val="both"/>
              <w:rPr>
                <w:rFonts w:ascii="Calibri" w:hAnsi="Calibri" w:cs="Calibri"/>
                <w:b/>
                <w:bCs/>
                <w:sz w:val="22"/>
                <w:szCs w:val="22"/>
              </w:rPr>
            </w:pPr>
            <w:r>
              <w:rPr>
                <w:rFonts w:ascii="Calibri" w:hAnsi="Calibri" w:cs="Calibri"/>
                <w:b/>
                <w:bCs/>
                <w:sz w:val="22"/>
                <w:szCs w:val="22"/>
              </w:rPr>
              <w:t>Date</w:t>
            </w:r>
          </w:p>
        </w:tc>
        <w:tc>
          <w:tcPr>
            <w:tcW w:w="7394" w:type="dxa"/>
          </w:tcPr>
          <w:p w14:paraId="660B623F" w14:textId="42AEBC46" w:rsidR="00893FFC" w:rsidRDefault="00893FFC" w:rsidP="00893FFC">
            <w:pPr>
              <w:pStyle w:val="NormalWeb"/>
              <w:jc w:val="both"/>
              <w:rPr>
                <w:rFonts w:ascii="Calibri" w:hAnsi="Calibri" w:cs="Calibri"/>
                <w:b/>
                <w:bCs/>
                <w:sz w:val="22"/>
                <w:szCs w:val="22"/>
              </w:rPr>
            </w:pPr>
            <w:r>
              <w:rPr>
                <w:rFonts w:ascii="Calibri" w:hAnsi="Calibri" w:cs="Calibri"/>
                <w:b/>
                <w:bCs/>
                <w:sz w:val="22"/>
                <w:szCs w:val="22"/>
              </w:rPr>
              <w:t>Description of Events</w:t>
            </w:r>
          </w:p>
        </w:tc>
      </w:tr>
      <w:tr w:rsidR="00893FFC" w14:paraId="0DEDD78D" w14:textId="77777777" w:rsidTr="002A7229">
        <w:trPr>
          <w:trHeight w:val="1544"/>
        </w:trPr>
        <w:tc>
          <w:tcPr>
            <w:tcW w:w="1986" w:type="dxa"/>
          </w:tcPr>
          <w:p w14:paraId="686D23E0" w14:textId="0952CE2D" w:rsidR="00893FFC" w:rsidRPr="00893FFC" w:rsidRDefault="00893FFC" w:rsidP="00830F74">
            <w:pPr>
              <w:pStyle w:val="NormalWeb"/>
              <w:rPr>
                <w:rFonts w:ascii="Calibri" w:hAnsi="Calibri" w:cs="Calibri"/>
                <w:sz w:val="22"/>
                <w:szCs w:val="22"/>
              </w:rPr>
            </w:pPr>
            <w:r w:rsidRPr="00893FFC">
              <w:rPr>
                <w:rFonts w:ascii="Calibri" w:hAnsi="Calibri" w:cs="Calibri"/>
                <w:sz w:val="22"/>
                <w:szCs w:val="22"/>
              </w:rPr>
              <w:t>World War</w:t>
            </w:r>
            <w:r w:rsidR="00830F74">
              <w:rPr>
                <w:rFonts w:ascii="Calibri" w:hAnsi="Calibri" w:cs="Calibri"/>
                <w:sz w:val="22"/>
                <w:szCs w:val="22"/>
              </w:rPr>
              <w:t xml:space="preserve"> </w:t>
            </w:r>
            <w:r w:rsidRPr="00893FFC">
              <w:rPr>
                <w:rFonts w:ascii="Calibri" w:hAnsi="Calibri" w:cs="Calibri"/>
                <w:sz w:val="22"/>
                <w:szCs w:val="22"/>
              </w:rPr>
              <w:t xml:space="preserve">I </w:t>
            </w:r>
            <w:r w:rsidR="00830F74">
              <w:rPr>
                <w:rFonts w:ascii="Calibri" w:hAnsi="Calibri" w:cs="Calibri"/>
                <w:sz w:val="22"/>
                <w:szCs w:val="22"/>
              </w:rPr>
              <w:t xml:space="preserve">   </w:t>
            </w:r>
            <w:r w:rsidRPr="00893FFC">
              <w:rPr>
                <w:rFonts w:ascii="Calibri" w:hAnsi="Calibri" w:cs="Calibri"/>
                <w:sz w:val="22"/>
                <w:szCs w:val="22"/>
              </w:rPr>
              <w:t>1914–1918</w:t>
            </w:r>
            <w:r w:rsidR="00830F74">
              <w:rPr>
                <w:rFonts w:ascii="Calibri" w:hAnsi="Calibri" w:cs="Calibri"/>
                <w:sz w:val="22"/>
                <w:szCs w:val="22"/>
              </w:rPr>
              <w:t>:</w:t>
            </w:r>
          </w:p>
        </w:tc>
        <w:tc>
          <w:tcPr>
            <w:tcW w:w="7394" w:type="dxa"/>
          </w:tcPr>
          <w:p w14:paraId="3E062CB4" w14:textId="2B06327D" w:rsidR="00893FFC" w:rsidRPr="00893FFC" w:rsidRDefault="00893FFC" w:rsidP="00830F74">
            <w:pPr>
              <w:pStyle w:val="NormalWeb"/>
              <w:rPr>
                <w:rFonts w:ascii="Calibri" w:hAnsi="Calibri" w:cs="Calibri"/>
                <w:sz w:val="22"/>
                <w:szCs w:val="22"/>
              </w:rPr>
            </w:pPr>
            <w:r w:rsidRPr="00893FFC">
              <w:rPr>
                <w:rFonts w:ascii="Calibri" w:hAnsi="Calibri" w:cs="Calibri"/>
                <w:sz w:val="22"/>
                <w:szCs w:val="22"/>
              </w:rPr>
              <w:t>German operatives engaged in biological sabotage by infecting livestock—particularly horses and mules—destined for Allied forces with anthrax and glanders. This covert operation aimed to incapacitate the animals essential for military logistics. German agents infiltrated the United States and surreptitiously infected livestock being shipped to Europe.</w:t>
            </w:r>
          </w:p>
        </w:tc>
      </w:tr>
      <w:tr w:rsidR="002A7229" w14:paraId="6B7AE14A" w14:textId="77777777" w:rsidTr="002A7229">
        <w:trPr>
          <w:trHeight w:val="2052"/>
        </w:trPr>
        <w:tc>
          <w:tcPr>
            <w:tcW w:w="1986" w:type="dxa"/>
          </w:tcPr>
          <w:p w14:paraId="039515CB" w14:textId="179EDC76" w:rsidR="002A7229" w:rsidRPr="00865D12" w:rsidRDefault="002A7229" w:rsidP="00830F74">
            <w:pPr>
              <w:pStyle w:val="NormalWeb"/>
              <w:rPr>
                <w:rStyle w:val="Strong"/>
                <w:rFonts w:ascii="Calibri" w:eastAsiaTheme="majorEastAsia" w:hAnsi="Calibri" w:cs="Calibri"/>
                <w:b w:val="0"/>
                <w:bCs w:val="0"/>
                <w:sz w:val="22"/>
                <w:szCs w:val="22"/>
              </w:rPr>
            </w:pPr>
            <w:r w:rsidRPr="00865D12">
              <w:rPr>
                <w:rStyle w:val="Strong"/>
                <w:rFonts w:ascii="Calibri" w:eastAsiaTheme="majorEastAsia" w:hAnsi="Calibri" w:cs="Calibri"/>
                <w:b w:val="0"/>
                <w:bCs w:val="0"/>
                <w:sz w:val="22"/>
                <w:szCs w:val="22"/>
              </w:rPr>
              <w:t>Geneva Protocol</w:t>
            </w:r>
            <w:r w:rsidRPr="00865D12">
              <w:rPr>
                <w:rStyle w:val="Strong"/>
                <w:rFonts w:ascii="Calibri" w:eastAsiaTheme="majorEastAsia" w:hAnsi="Calibri" w:cs="Calibri"/>
                <w:b w:val="0"/>
                <w:bCs w:val="0"/>
                <w:sz w:val="22"/>
                <w:szCs w:val="22"/>
              </w:rPr>
              <w:t xml:space="preserve"> </w:t>
            </w:r>
            <w:r w:rsidRPr="00865D12">
              <w:rPr>
                <w:rStyle w:val="Strong"/>
                <w:rFonts w:ascii="Calibri" w:eastAsiaTheme="majorEastAsia" w:hAnsi="Calibri" w:cs="Calibri"/>
                <w:b w:val="0"/>
                <w:bCs w:val="0"/>
                <w:sz w:val="22"/>
                <w:szCs w:val="22"/>
              </w:rPr>
              <w:t>June 17, 1925:</w:t>
            </w:r>
          </w:p>
        </w:tc>
        <w:tc>
          <w:tcPr>
            <w:tcW w:w="7394" w:type="dxa"/>
          </w:tcPr>
          <w:p w14:paraId="0971BD61" w14:textId="03ADB00E" w:rsidR="002A7229" w:rsidRPr="002A7229" w:rsidRDefault="002A7229" w:rsidP="00830F74">
            <w:pPr>
              <w:rPr>
                <w:rFonts w:ascii="Calibri" w:hAnsi="Calibri" w:cs="Calibri"/>
                <w:sz w:val="22"/>
                <w:szCs w:val="22"/>
              </w:rPr>
            </w:pPr>
            <w:r w:rsidRPr="002A7229">
              <w:rPr>
                <w:rFonts w:ascii="Calibri" w:hAnsi="Calibri" w:cs="Calibri"/>
                <w:sz w:val="22"/>
                <w:szCs w:val="22"/>
              </w:rPr>
              <w:t>In response to the devastating effects of chemical warfare during World War I, international delegates gathered in Switzerland to draft the Geneva Protocol. This treaty prohibited the use of chemical and biological weapons in warfare, although it still permitted their research, development, and production. Thirty-nine nations, including the United States, signed the protocol. Despite the U.S. Senate's refusal to ratify the agreement, the U.S. government pledged to adhere to its principles.</w:t>
            </w:r>
          </w:p>
        </w:tc>
      </w:tr>
      <w:tr w:rsidR="00893FFC" w14:paraId="65702642" w14:textId="77777777" w:rsidTr="002A7229">
        <w:trPr>
          <w:trHeight w:val="911"/>
        </w:trPr>
        <w:tc>
          <w:tcPr>
            <w:tcW w:w="1986" w:type="dxa"/>
          </w:tcPr>
          <w:p w14:paraId="7872EDBF" w14:textId="7D42137F" w:rsidR="00893FFC" w:rsidRPr="00893FFC" w:rsidRDefault="00893FFC" w:rsidP="00830F74">
            <w:pPr>
              <w:pStyle w:val="NormalWeb"/>
              <w:rPr>
                <w:rFonts w:ascii="Calibri" w:hAnsi="Calibri" w:cs="Calibri"/>
                <w:b/>
                <w:bCs/>
                <w:sz w:val="22"/>
                <w:szCs w:val="22"/>
              </w:rPr>
            </w:pPr>
            <w:r w:rsidRPr="00893FFC">
              <w:rPr>
                <w:rStyle w:val="Strong"/>
                <w:rFonts w:ascii="Calibri" w:eastAsiaTheme="majorEastAsia" w:hAnsi="Calibri" w:cs="Calibri"/>
                <w:b w:val="0"/>
                <w:bCs w:val="0"/>
                <w:sz w:val="22"/>
                <w:szCs w:val="22"/>
              </w:rPr>
              <w:t>U.S. Biological Warfare Testing</w:t>
            </w:r>
            <w:r w:rsidRPr="00893FFC">
              <w:rPr>
                <w:rStyle w:val="Strong"/>
                <w:rFonts w:ascii="Calibri" w:eastAsiaTheme="majorEastAsia" w:hAnsi="Calibri" w:cs="Calibri"/>
                <w:b w:val="0"/>
                <w:bCs w:val="0"/>
                <w:sz w:val="22"/>
                <w:szCs w:val="22"/>
              </w:rPr>
              <w:t xml:space="preserve">: </w:t>
            </w:r>
            <w:r w:rsidRPr="00893FFC">
              <w:rPr>
                <w:rStyle w:val="Strong"/>
                <w:rFonts w:ascii="Calibri" w:eastAsiaTheme="majorEastAsia" w:hAnsi="Calibri" w:cs="Calibri"/>
                <w:b w:val="0"/>
                <w:bCs w:val="0"/>
                <w:sz w:val="22"/>
                <w:szCs w:val="22"/>
              </w:rPr>
              <w:t>1950s–1960s</w:t>
            </w:r>
          </w:p>
        </w:tc>
        <w:tc>
          <w:tcPr>
            <w:tcW w:w="7394" w:type="dxa"/>
          </w:tcPr>
          <w:p w14:paraId="6C17BB0F" w14:textId="279FEFDE" w:rsidR="00893FFC" w:rsidRPr="00893FFC" w:rsidRDefault="00893FFC" w:rsidP="00830F74">
            <w:pPr>
              <w:rPr>
                <w:rFonts w:ascii="Calibri" w:hAnsi="Calibri" w:cs="Calibri"/>
                <w:sz w:val="22"/>
                <w:szCs w:val="22"/>
              </w:rPr>
            </w:pPr>
            <w:r w:rsidRPr="00893FFC">
              <w:rPr>
                <w:rFonts w:ascii="Calibri" w:hAnsi="Calibri" w:cs="Calibri"/>
                <w:sz w:val="22"/>
                <w:szCs w:val="22"/>
              </w:rPr>
              <w:t xml:space="preserve">During the Cold War, the United States conducted over 200 domestic tests to assess vulnerabilities to biological warfare. These secret tests aimed to understand potential threats and improve defense mechanisms. </w:t>
            </w:r>
          </w:p>
        </w:tc>
      </w:tr>
      <w:tr w:rsidR="00893FFC" w14:paraId="3A58F00B" w14:textId="77777777" w:rsidTr="002A7229">
        <w:trPr>
          <w:trHeight w:val="85"/>
        </w:trPr>
        <w:tc>
          <w:tcPr>
            <w:tcW w:w="1986" w:type="dxa"/>
          </w:tcPr>
          <w:p w14:paraId="1A789CE7" w14:textId="0147C469" w:rsidR="00893FFC" w:rsidRPr="00893FFC" w:rsidRDefault="00893FFC" w:rsidP="00830F74">
            <w:pPr>
              <w:pStyle w:val="NormalWeb"/>
              <w:rPr>
                <w:rFonts w:ascii="Calibri" w:hAnsi="Calibri" w:cs="Calibri"/>
                <w:b/>
                <w:bCs/>
                <w:sz w:val="22"/>
                <w:szCs w:val="22"/>
              </w:rPr>
            </w:pPr>
            <w:r w:rsidRPr="00893FFC">
              <w:rPr>
                <w:rFonts w:ascii="Calibri" w:hAnsi="Calibri" w:cs="Calibri"/>
                <w:sz w:val="22"/>
                <w:szCs w:val="22"/>
              </w:rPr>
              <w:t>Biological Weapons Convention (BWC)</w:t>
            </w:r>
            <w:r w:rsidRPr="00893FFC">
              <w:rPr>
                <w:rFonts w:ascii="Calibri" w:hAnsi="Calibri" w:cs="Calibri"/>
                <w:sz w:val="22"/>
                <w:szCs w:val="22"/>
              </w:rPr>
              <w:t xml:space="preserve"> </w:t>
            </w:r>
            <w:r w:rsidRPr="00893FFC">
              <w:rPr>
                <w:rFonts w:ascii="Calibri" w:hAnsi="Calibri" w:cs="Calibri"/>
                <w:sz w:val="22"/>
                <w:szCs w:val="22"/>
              </w:rPr>
              <w:t>1972:</w:t>
            </w:r>
          </w:p>
        </w:tc>
        <w:tc>
          <w:tcPr>
            <w:tcW w:w="7394" w:type="dxa"/>
          </w:tcPr>
          <w:p w14:paraId="2028051D" w14:textId="27F912E3" w:rsidR="00893FFC" w:rsidRPr="00893FFC" w:rsidRDefault="00893FFC" w:rsidP="00830F74">
            <w:pPr>
              <w:pStyle w:val="NormalWeb"/>
              <w:rPr>
                <w:rFonts w:ascii="Calibri" w:hAnsi="Calibri" w:cs="Calibri"/>
                <w:b/>
                <w:bCs/>
                <w:sz w:val="22"/>
                <w:szCs w:val="22"/>
              </w:rPr>
            </w:pPr>
            <w:r w:rsidRPr="00893FFC">
              <w:rPr>
                <w:rFonts w:ascii="Calibri" w:hAnsi="Calibri" w:cs="Calibri"/>
                <w:sz w:val="22"/>
                <w:szCs w:val="22"/>
              </w:rPr>
              <w:t>The BWC was established as the first multilateral disarmament treaty banning the development, production, and stockpiling of an entire category of weapons. It marked a significant step toward controlling the proliferation of biological weapons.</w:t>
            </w:r>
          </w:p>
        </w:tc>
      </w:tr>
      <w:tr w:rsidR="00893FFC" w14:paraId="79C47829" w14:textId="77777777" w:rsidTr="002A7229">
        <w:trPr>
          <w:trHeight w:val="930"/>
        </w:trPr>
        <w:tc>
          <w:tcPr>
            <w:tcW w:w="1986" w:type="dxa"/>
          </w:tcPr>
          <w:p w14:paraId="00FDACEB" w14:textId="61A9BF02" w:rsidR="00893FFC" w:rsidRPr="00830F74" w:rsidRDefault="00893FFC" w:rsidP="00830F74">
            <w:pPr>
              <w:pStyle w:val="NormalWeb"/>
              <w:rPr>
                <w:rFonts w:ascii="Calibri" w:hAnsi="Calibri" w:cs="Calibri"/>
                <w:sz w:val="22"/>
                <w:szCs w:val="22"/>
              </w:rPr>
            </w:pPr>
            <w:r w:rsidRPr="00830F74">
              <w:rPr>
                <w:rFonts w:ascii="Calibri" w:hAnsi="Calibri" w:cs="Calibri"/>
                <w:sz w:val="22"/>
                <w:szCs w:val="22"/>
              </w:rPr>
              <w:t>Sverdlovsk Anthrax Leak</w:t>
            </w:r>
            <w:r w:rsidRPr="00830F74">
              <w:rPr>
                <w:rFonts w:ascii="Calibri" w:hAnsi="Calibri" w:cs="Calibri"/>
                <w:sz w:val="22"/>
                <w:szCs w:val="22"/>
              </w:rPr>
              <w:t xml:space="preserve"> </w:t>
            </w:r>
            <w:r w:rsidR="00830F74">
              <w:rPr>
                <w:rFonts w:ascii="Calibri" w:hAnsi="Calibri" w:cs="Calibri"/>
                <w:sz w:val="22"/>
                <w:szCs w:val="22"/>
              </w:rPr>
              <w:t xml:space="preserve">                 </w:t>
            </w:r>
            <w:r w:rsidRPr="00830F74">
              <w:rPr>
                <w:rFonts w:ascii="Calibri" w:hAnsi="Calibri" w:cs="Calibri"/>
                <w:sz w:val="22"/>
                <w:szCs w:val="22"/>
              </w:rPr>
              <w:t>1972:</w:t>
            </w:r>
          </w:p>
        </w:tc>
        <w:tc>
          <w:tcPr>
            <w:tcW w:w="7394" w:type="dxa"/>
          </w:tcPr>
          <w:p w14:paraId="1EDF5B76" w14:textId="2DED755F" w:rsidR="00893FFC" w:rsidRPr="00830F74" w:rsidRDefault="00893FFC" w:rsidP="00830F74">
            <w:pPr>
              <w:pStyle w:val="NormalWeb"/>
              <w:rPr>
                <w:rFonts w:ascii="Calibri" w:hAnsi="Calibri" w:cs="Calibri"/>
                <w:b/>
                <w:bCs/>
                <w:sz w:val="22"/>
                <w:szCs w:val="22"/>
              </w:rPr>
            </w:pPr>
            <w:r w:rsidRPr="00830F74">
              <w:rPr>
                <w:rFonts w:ascii="Calibri" w:hAnsi="Calibri" w:cs="Calibri"/>
                <w:sz w:val="22"/>
                <w:szCs w:val="22"/>
              </w:rPr>
              <w:t>An accidental release of anthrax spores from a Soviet military facility in Sverdlovsk (now Yekaterinburg, Russia) resulted in numerous deaths, highlighting the dangers associated with biological weapons research.</w:t>
            </w:r>
          </w:p>
        </w:tc>
      </w:tr>
      <w:tr w:rsidR="00893FFC" w14:paraId="067582CC" w14:textId="77777777" w:rsidTr="002A7229">
        <w:trPr>
          <w:trHeight w:val="902"/>
        </w:trPr>
        <w:tc>
          <w:tcPr>
            <w:tcW w:w="1986" w:type="dxa"/>
          </w:tcPr>
          <w:p w14:paraId="6A65016D" w14:textId="77777777" w:rsidR="00830F74" w:rsidRDefault="00830F74" w:rsidP="00830F74">
            <w:pPr>
              <w:rPr>
                <w:rStyle w:val="Strong"/>
                <w:rFonts w:ascii="Calibri" w:hAnsi="Calibri" w:cs="Calibri"/>
                <w:b w:val="0"/>
                <w:bCs w:val="0"/>
                <w:sz w:val="22"/>
                <w:szCs w:val="22"/>
              </w:rPr>
            </w:pPr>
            <w:r w:rsidRPr="00830F74">
              <w:rPr>
                <w:rStyle w:val="Strong"/>
                <w:rFonts w:ascii="Calibri" w:hAnsi="Calibri" w:cs="Calibri"/>
                <w:b w:val="0"/>
                <w:bCs w:val="0"/>
                <w:sz w:val="22"/>
                <w:szCs w:val="22"/>
              </w:rPr>
              <w:lastRenderedPageBreak/>
              <w:t>Rajneeshee Cult Attack</w:t>
            </w:r>
            <w:r w:rsidRPr="00830F74">
              <w:rPr>
                <w:rStyle w:val="Strong"/>
                <w:rFonts w:ascii="Calibri" w:hAnsi="Calibri" w:cs="Calibri"/>
                <w:b w:val="0"/>
                <w:bCs w:val="0"/>
                <w:sz w:val="22"/>
                <w:szCs w:val="22"/>
              </w:rPr>
              <w:t xml:space="preserve"> </w:t>
            </w:r>
          </w:p>
          <w:p w14:paraId="0142AE61" w14:textId="2F194AEB" w:rsidR="00893FFC" w:rsidRPr="00830F74" w:rsidRDefault="00830F74" w:rsidP="002A7229">
            <w:pPr>
              <w:rPr>
                <w:rFonts w:ascii="Calibri" w:hAnsi="Calibri" w:cs="Calibri"/>
                <w:b/>
                <w:bCs/>
                <w:sz w:val="22"/>
                <w:szCs w:val="22"/>
              </w:rPr>
            </w:pPr>
            <w:r w:rsidRPr="00830F74">
              <w:rPr>
                <w:rStyle w:val="Strong"/>
                <w:rFonts w:ascii="Calibri" w:hAnsi="Calibri" w:cs="Calibri"/>
                <w:b w:val="0"/>
                <w:bCs w:val="0"/>
                <w:sz w:val="22"/>
                <w:szCs w:val="22"/>
              </w:rPr>
              <w:t>1984:</w:t>
            </w:r>
          </w:p>
        </w:tc>
        <w:tc>
          <w:tcPr>
            <w:tcW w:w="7394" w:type="dxa"/>
          </w:tcPr>
          <w:p w14:paraId="76286347" w14:textId="630F9359" w:rsidR="00893FFC" w:rsidRPr="00830F74" w:rsidRDefault="00893FFC" w:rsidP="00830F74">
            <w:pPr>
              <w:pStyle w:val="NormalWeb"/>
              <w:rPr>
                <w:rFonts w:ascii="Calibri" w:hAnsi="Calibri" w:cs="Calibri"/>
                <w:b/>
                <w:bCs/>
                <w:sz w:val="22"/>
                <w:szCs w:val="22"/>
              </w:rPr>
            </w:pPr>
            <w:r w:rsidRPr="00830F74">
              <w:rPr>
                <w:rFonts w:ascii="Calibri" w:hAnsi="Calibri" w:cs="Calibri"/>
                <w:sz w:val="22"/>
                <w:szCs w:val="22"/>
              </w:rPr>
              <w:t>In The Dalles, Oregon, followers of the Rajneeshee cult contaminated salad bars with Salmonella bacteria, sickening 751 people in an attempt to influence local elections. This incident remains the largest bioterrorism attack on U.S. soil.</w:t>
            </w:r>
          </w:p>
        </w:tc>
      </w:tr>
      <w:tr w:rsidR="00893FFC" w14:paraId="38CFFC40" w14:textId="77777777" w:rsidTr="002A7229">
        <w:trPr>
          <w:trHeight w:val="1127"/>
        </w:trPr>
        <w:tc>
          <w:tcPr>
            <w:tcW w:w="1986" w:type="dxa"/>
          </w:tcPr>
          <w:p w14:paraId="65278F9E" w14:textId="27C12B9B" w:rsidR="00893FFC" w:rsidRPr="00830F74" w:rsidRDefault="00893FFC" w:rsidP="00830F74">
            <w:pPr>
              <w:pStyle w:val="NormalWeb"/>
              <w:rPr>
                <w:rFonts w:ascii="Calibri" w:hAnsi="Calibri" w:cs="Calibri"/>
                <w:b/>
                <w:bCs/>
                <w:sz w:val="22"/>
                <w:szCs w:val="22"/>
              </w:rPr>
            </w:pPr>
            <w:r w:rsidRPr="00830F74">
              <w:rPr>
                <w:rFonts w:ascii="Calibri" w:hAnsi="Calibri" w:cs="Calibri"/>
                <w:sz w:val="22"/>
                <w:szCs w:val="22"/>
              </w:rPr>
              <w:t>Aum Shinrikyo's Failed Anthrax Attack</w:t>
            </w:r>
            <w:r w:rsidR="00830F74" w:rsidRPr="00830F74">
              <w:rPr>
                <w:rFonts w:ascii="Calibri" w:hAnsi="Calibri" w:cs="Calibri"/>
                <w:sz w:val="22"/>
                <w:szCs w:val="22"/>
              </w:rPr>
              <w:t xml:space="preserve"> </w:t>
            </w:r>
            <w:r w:rsidR="00830F74">
              <w:rPr>
                <w:rFonts w:ascii="Calibri" w:hAnsi="Calibri" w:cs="Calibri"/>
                <w:sz w:val="22"/>
                <w:szCs w:val="22"/>
              </w:rPr>
              <w:t xml:space="preserve">             </w:t>
            </w:r>
            <w:r w:rsidR="00830F74" w:rsidRPr="00830F74">
              <w:rPr>
                <w:rFonts w:ascii="Calibri" w:hAnsi="Calibri" w:cs="Calibri"/>
                <w:sz w:val="22"/>
                <w:szCs w:val="22"/>
              </w:rPr>
              <w:t>1993:</w:t>
            </w:r>
          </w:p>
        </w:tc>
        <w:tc>
          <w:tcPr>
            <w:tcW w:w="7394" w:type="dxa"/>
          </w:tcPr>
          <w:p w14:paraId="39BD937D" w14:textId="453CAA3E" w:rsidR="00893FFC" w:rsidRPr="00830F74" w:rsidRDefault="00893FFC" w:rsidP="00830F74">
            <w:pPr>
              <w:pStyle w:val="NormalWeb"/>
              <w:rPr>
                <w:rFonts w:ascii="Calibri" w:hAnsi="Calibri" w:cs="Calibri"/>
                <w:b/>
                <w:bCs/>
                <w:sz w:val="22"/>
                <w:szCs w:val="22"/>
              </w:rPr>
            </w:pPr>
            <w:r w:rsidRPr="00830F74">
              <w:rPr>
                <w:rFonts w:ascii="Calibri" w:hAnsi="Calibri" w:cs="Calibri"/>
                <w:sz w:val="22"/>
                <w:szCs w:val="22"/>
              </w:rPr>
              <w:t>The Japanese cult Aum Shinrikyo released anthrax spores in Tokyo, but failed to cause infections due to using a non-virulent strain. This incident underscored the challenges in effectively weaponizing biological agents.</w:t>
            </w:r>
          </w:p>
        </w:tc>
      </w:tr>
      <w:tr w:rsidR="00893FFC" w14:paraId="580F28D9" w14:textId="77777777" w:rsidTr="002A7229">
        <w:trPr>
          <w:trHeight w:val="911"/>
        </w:trPr>
        <w:tc>
          <w:tcPr>
            <w:tcW w:w="1986" w:type="dxa"/>
          </w:tcPr>
          <w:p w14:paraId="1E0CF4ED" w14:textId="452FF327" w:rsidR="00893FFC" w:rsidRPr="00830F74" w:rsidRDefault="00893FFC" w:rsidP="00830F74">
            <w:pPr>
              <w:pStyle w:val="NormalWeb"/>
              <w:rPr>
                <w:rFonts w:ascii="Calibri" w:hAnsi="Calibri" w:cs="Calibri"/>
                <w:b/>
                <w:bCs/>
                <w:sz w:val="22"/>
                <w:szCs w:val="22"/>
              </w:rPr>
            </w:pPr>
            <w:r w:rsidRPr="00830F74">
              <w:rPr>
                <w:rFonts w:ascii="Calibri" w:hAnsi="Calibri" w:cs="Calibri"/>
                <w:sz w:val="22"/>
                <w:szCs w:val="22"/>
              </w:rPr>
              <w:t>Anthrax Letters in the United States</w:t>
            </w:r>
            <w:r w:rsidRPr="00830F74">
              <w:rPr>
                <w:rFonts w:ascii="Calibri" w:hAnsi="Calibri" w:cs="Calibri"/>
                <w:sz w:val="22"/>
                <w:szCs w:val="22"/>
              </w:rPr>
              <w:t xml:space="preserve"> 2001:</w:t>
            </w:r>
          </w:p>
        </w:tc>
        <w:tc>
          <w:tcPr>
            <w:tcW w:w="7394" w:type="dxa"/>
          </w:tcPr>
          <w:p w14:paraId="721CDB1F" w14:textId="465FDAAB" w:rsidR="00893FFC" w:rsidRPr="00830F74" w:rsidRDefault="00893FFC" w:rsidP="00830F74">
            <w:pPr>
              <w:pStyle w:val="NormalWeb"/>
              <w:rPr>
                <w:rFonts w:ascii="Calibri" w:hAnsi="Calibri" w:cs="Calibri"/>
                <w:b/>
                <w:bCs/>
                <w:sz w:val="22"/>
                <w:szCs w:val="22"/>
              </w:rPr>
            </w:pPr>
            <w:r w:rsidRPr="00830F74">
              <w:rPr>
                <w:rFonts w:ascii="Calibri" w:hAnsi="Calibri" w:cs="Calibri"/>
                <w:sz w:val="22"/>
                <w:szCs w:val="22"/>
              </w:rPr>
              <w:t>Following the 9/11 attacks, letters containing anthrax spores were mailed to media outlets and U.S. senators, resulting in 22 infections and 5 deaths. This event prompted widespread fear and led to extensive decontamination efforts.</w:t>
            </w:r>
          </w:p>
        </w:tc>
      </w:tr>
    </w:tbl>
    <w:p w14:paraId="78554B70" w14:textId="67AC2272" w:rsidR="00893FFC" w:rsidRDefault="004F01AF" w:rsidP="00893FFC">
      <w:pPr>
        <w:pStyle w:val="NormalWeb"/>
        <w:jc w:val="both"/>
        <w:rPr>
          <w:rFonts w:ascii="Calibri" w:hAnsi="Calibri" w:cs="Calibri"/>
          <w:b/>
          <w:bCs/>
          <w:sz w:val="28"/>
          <w:szCs w:val="28"/>
        </w:rPr>
      </w:pPr>
      <w:r w:rsidRPr="004F01AF">
        <w:rPr>
          <w:rFonts w:ascii="Calibri" w:hAnsi="Calibri" w:cs="Calibri"/>
          <w:b/>
          <w:bCs/>
          <w:sz w:val="28"/>
          <w:szCs w:val="28"/>
        </w:rPr>
        <w:t>UN involvement, relevant resolutions, treaties and events</w:t>
      </w:r>
    </w:p>
    <w:p w14:paraId="4BFA5BBC" w14:textId="73818767" w:rsidR="004F01AF" w:rsidRPr="004F01AF" w:rsidRDefault="004F01AF" w:rsidP="00132F20">
      <w:pPr>
        <w:spacing w:before="100" w:beforeAutospacing="1" w:after="100" w:afterAutospacing="1" w:line="240" w:lineRule="auto"/>
        <w:rPr>
          <w:rFonts w:ascii="Calibri" w:eastAsia="Times New Roman" w:hAnsi="Calibri" w:cs="Calibri"/>
          <w:kern w:val="0"/>
          <w:sz w:val="22"/>
          <w:szCs w:val="22"/>
          <w14:ligatures w14:val="none"/>
        </w:rPr>
      </w:pPr>
      <w:r w:rsidRPr="004F01AF">
        <w:rPr>
          <w:rFonts w:ascii="Calibri" w:eastAsia="Times New Roman" w:hAnsi="Calibri" w:cs="Calibri"/>
          <w:kern w:val="0"/>
          <w:sz w:val="22"/>
          <w:szCs w:val="22"/>
          <w14:ligatures w14:val="none"/>
        </w:rPr>
        <w:t xml:space="preserve">The United Nations (UN) has played a </w:t>
      </w:r>
      <w:r w:rsidRPr="00132F20">
        <w:rPr>
          <w:rFonts w:ascii="Calibri" w:eastAsia="Times New Roman" w:hAnsi="Calibri" w:cs="Calibri"/>
          <w:kern w:val="0"/>
          <w:sz w:val="22"/>
          <w:szCs w:val="22"/>
          <w14:ligatures w14:val="none"/>
        </w:rPr>
        <w:t>vital</w:t>
      </w:r>
      <w:r w:rsidRPr="004F01AF">
        <w:rPr>
          <w:rFonts w:ascii="Calibri" w:eastAsia="Times New Roman" w:hAnsi="Calibri" w:cs="Calibri"/>
          <w:kern w:val="0"/>
          <w:sz w:val="22"/>
          <w:szCs w:val="22"/>
          <w14:ligatures w14:val="none"/>
        </w:rPr>
        <w:t xml:space="preserve"> role in addressing the threats posed by biological weapons and bioterrorism through various resolutions, treaties, and initiatives.The </w:t>
      </w:r>
      <w:r w:rsidRPr="00132F20">
        <w:rPr>
          <w:rFonts w:ascii="Calibri" w:eastAsia="Times New Roman" w:hAnsi="Calibri" w:cs="Calibri"/>
          <w:kern w:val="0"/>
          <w:sz w:val="22"/>
          <w:szCs w:val="22"/>
          <w14:ligatures w14:val="none"/>
        </w:rPr>
        <w:t xml:space="preserve">BWC </w:t>
      </w:r>
      <w:r w:rsidRPr="004F01AF">
        <w:rPr>
          <w:rFonts w:ascii="Calibri" w:eastAsia="Times New Roman" w:hAnsi="Calibri" w:cs="Calibri"/>
          <w:kern w:val="0"/>
          <w:sz w:val="22"/>
          <w:szCs w:val="22"/>
          <w14:ligatures w14:val="none"/>
        </w:rPr>
        <w:t xml:space="preserve">is a cornerstone in the global effort to </w:t>
      </w:r>
      <w:r w:rsidRPr="00132F20">
        <w:rPr>
          <w:rFonts w:ascii="Calibri" w:eastAsia="Times New Roman" w:hAnsi="Calibri" w:cs="Calibri"/>
          <w:kern w:val="0"/>
          <w:sz w:val="22"/>
          <w:szCs w:val="22"/>
          <w14:ligatures w14:val="none"/>
        </w:rPr>
        <w:t>stop</w:t>
      </w:r>
      <w:r w:rsidRPr="004F01AF">
        <w:rPr>
          <w:rFonts w:ascii="Calibri" w:eastAsia="Times New Roman" w:hAnsi="Calibri" w:cs="Calibri"/>
          <w:kern w:val="0"/>
          <w:sz w:val="22"/>
          <w:szCs w:val="22"/>
          <w14:ligatures w14:val="none"/>
        </w:rPr>
        <w:t xml:space="preserve"> the development, production, and </w:t>
      </w:r>
      <w:r w:rsidRPr="00132F20">
        <w:rPr>
          <w:rFonts w:ascii="Calibri" w:eastAsia="Times New Roman" w:hAnsi="Calibri" w:cs="Calibri"/>
          <w:kern w:val="0"/>
          <w:sz w:val="22"/>
          <w:szCs w:val="22"/>
          <w14:ligatures w14:val="none"/>
        </w:rPr>
        <w:t>possesion</w:t>
      </w:r>
      <w:r w:rsidRPr="004F01AF">
        <w:rPr>
          <w:rFonts w:ascii="Calibri" w:eastAsia="Times New Roman" w:hAnsi="Calibri" w:cs="Calibri"/>
          <w:kern w:val="0"/>
          <w:sz w:val="22"/>
          <w:szCs w:val="22"/>
          <w14:ligatures w14:val="none"/>
        </w:rPr>
        <w:t xml:space="preserve"> of biological and toxin weapons. It was the first multilateral disarmament treaty to ban an entire category of weapons of mass destruction. </w:t>
      </w:r>
      <w:r w:rsidRPr="00132F20">
        <w:rPr>
          <w:rFonts w:ascii="Calibri" w:eastAsia="Times New Roman" w:hAnsi="Calibri" w:cs="Calibri"/>
          <w:kern w:val="0"/>
          <w:sz w:val="22"/>
          <w:szCs w:val="22"/>
          <w14:ligatures w14:val="none"/>
        </w:rPr>
        <w:t xml:space="preserve">The </w:t>
      </w:r>
      <w:r w:rsidRPr="004F01AF">
        <w:rPr>
          <w:rFonts w:ascii="Calibri" w:eastAsia="Times New Roman" w:hAnsi="Calibri" w:cs="Calibri"/>
          <w:kern w:val="0"/>
          <w:sz w:val="22"/>
          <w:szCs w:val="22"/>
          <w14:ligatures w14:val="none"/>
        </w:rPr>
        <w:t>UN Security Council Resolution 1540 – 2004</w:t>
      </w:r>
      <w:r w:rsidRPr="00132F20">
        <w:rPr>
          <w:rFonts w:ascii="Calibri" w:eastAsia="Times New Roman" w:hAnsi="Calibri" w:cs="Calibri"/>
          <w:kern w:val="0"/>
          <w:sz w:val="22"/>
          <w:szCs w:val="22"/>
          <w14:ligatures w14:val="none"/>
        </w:rPr>
        <w:t>, collectively adopted</w:t>
      </w:r>
      <w:r w:rsidRPr="004F01AF">
        <w:rPr>
          <w:rFonts w:ascii="Calibri" w:eastAsia="Times New Roman" w:hAnsi="Calibri" w:cs="Calibri"/>
          <w:kern w:val="0"/>
          <w:sz w:val="22"/>
          <w:szCs w:val="22"/>
          <w14:ligatures w14:val="none"/>
        </w:rPr>
        <w:t>, this resolution impo</w:t>
      </w:r>
      <w:r w:rsidRPr="00132F20">
        <w:rPr>
          <w:rFonts w:ascii="Calibri" w:eastAsia="Times New Roman" w:hAnsi="Calibri" w:cs="Calibri"/>
          <w:kern w:val="0"/>
          <w:sz w:val="22"/>
          <w:szCs w:val="22"/>
          <w14:ligatures w14:val="none"/>
        </w:rPr>
        <w:t>ses</w:t>
      </w:r>
      <w:r w:rsidRPr="004F01AF">
        <w:rPr>
          <w:rFonts w:ascii="Calibri" w:eastAsia="Times New Roman" w:hAnsi="Calibri" w:cs="Calibri"/>
          <w:kern w:val="0"/>
          <w:sz w:val="22"/>
          <w:szCs w:val="22"/>
          <w14:ligatures w14:val="none"/>
        </w:rPr>
        <w:t xml:space="preserve"> binding obligations on all UN member states to establish domestic controls to prevent the proliferation of nuclear, chemical, and biological weapons, particularly to non-state actors. It emphasizes the need for measures to prevent bioterrorism. </w:t>
      </w:r>
      <w:r w:rsidRPr="00132F20">
        <w:rPr>
          <w:rFonts w:ascii="Calibri" w:eastAsia="Times New Roman" w:hAnsi="Calibri" w:cs="Calibri"/>
          <w:kern w:val="0"/>
          <w:sz w:val="22"/>
          <w:szCs w:val="22"/>
          <w14:ligatures w14:val="none"/>
        </w:rPr>
        <w:t xml:space="preserve">Followed by the </w:t>
      </w:r>
      <w:r w:rsidRPr="004F01AF">
        <w:rPr>
          <w:rFonts w:ascii="Calibri" w:eastAsia="Times New Roman" w:hAnsi="Calibri" w:cs="Calibri"/>
          <w:kern w:val="0"/>
          <w:sz w:val="22"/>
          <w:szCs w:val="22"/>
          <w14:ligatures w14:val="none"/>
        </w:rPr>
        <w:t>UN Global Counter-Terrorism Strategy – 2006</w:t>
      </w:r>
      <w:r w:rsidRPr="00132F20">
        <w:rPr>
          <w:rFonts w:ascii="Calibri" w:eastAsia="Times New Roman" w:hAnsi="Calibri" w:cs="Calibri"/>
          <w:kern w:val="0"/>
          <w:sz w:val="22"/>
          <w:szCs w:val="22"/>
          <w14:ligatures w14:val="none"/>
        </w:rPr>
        <w:t>, t</w:t>
      </w:r>
      <w:r w:rsidRPr="004F01AF">
        <w:rPr>
          <w:rFonts w:ascii="Calibri" w:eastAsia="Times New Roman" w:hAnsi="Calibri" w:cs="Calibri"/>
          <w:kern w:val="0"/>
          <w:sz w:val="22"/>
          <w:szCs w:val="22"/>
          <w14:ligatures w14:val="none"/>
        </w:rPr>
        <w:t>he UN General Assembly adopted Resolution A/RES/60/288, outlining a</w:t>
      </w:r>
      <w:r w:rsidR="00132F20" w:rsidRPr="00132F20">
        <w:rPr>
          <w:rFonts w:ascii="Calibri" w:eastAsia="Times New Roman" w:hAnsi="Calibri" w:cs="Calibri"/>
          <w:kern w:val="0"/>
          <w:sz w:val="22"/>
          <w:szCs w:val="22"/>
          <w14:ligatures w14:val="none"/>
        </w:rPr>
        <w:t xml:space="preserve"> detailed</w:t>
      </w:r>
      <w:r w:rsidRPr="004F01AF">
        <w:rPr>
          <w:rFonts w:ascii="Calibri" w:eastAsia="Times New Roman" w:hAnsi="Calibri" w:cs="Calibri"/>
          <w:kern w:val="0"/>
          <w:sz w:val="22"/>
          <w:szCs w:val="22"/>
          <w14:ligatures w14:val="none"/>
        </w:rPr>
        <w:t xml:space="preserve"> strategy to combat terrorism, including me</w:t>
      </w:r>
      <w:r w:rsidR="00132F20" w:rsidRPr="00132F20">
        <w:rPr>
          <w:rFonts w:ascii="Calibri" w:eastAsia="Times New Roman" w:hAnsi="Calibri" w:cs="Calibri"/>
          <w:kern w:val="0"/>
          <w:sz w:val="22"/>
          <w:szCs w:val="22"/>
          <w14:ligatures w14:val="none"/>
        </w:rPr>
        <w:t>thods</w:t>
      </w:r>
      <w:r w:rsidRPr="004F01AF">
        <w:rPr>
          <w:rFonts w:ascii="Calibri" w:eastAsia="Times New Roman" w:hAnsi="Calibri" w:cs="Calibri"/>
          <w:kern w:val="0"/>
          <w:sz w:val="22"/>
          <w:szCs w:val="22"/>
          <w14:ligatures w14:val="none"/>
        </w:rPr>
        <w:t xml:space="preserve"> to prevent and respond to bioterrorism. This strategy </w:t>
      </w:r>
      <w:r w:rsidR="00132F20" w:rsidRPr="00132F20">
        <w:rPr>
          <w:rFonts w:ascii="Calibri" w:eastAsia="Times New Roman" w:hAnsi="Calibri" w:cs="Calibri"/>
          <w:kern w:val="0"/>
          <w:sz w:val="22"/>
          <w:szCs w:val="22"/>
          <w14:ligatures w14:val="none"/>
        </w:rPr>
        <w:t>highlights</w:t>
      </w:r>
      <w:r w:rsidRPr="004F01AF">
        <w:rPr>
          <w:rFonts w:ascii="Calibri" w:eastAsia="Times New Roman" w:hAnsi="Calibri" w:cs="Calibri"/>
          <w:kern w:val="0"/>
          <w:sz w:val="22"/>
          <w:szCs w:val="22"/>
          <w14:ligatures w14:val="none"/>
        </w:rPr>
        <w:t xml:space="preserve"> the importance of international cooperation in addressing biological threats. UNODA Initiatives</w:t>
      </w:r>
      <w:r w:rsidR="00132F20" w:rsidRPr="00132F20">
        <w:rPr>
          <w:rFonts w:ascii="Calibri" w:eastAsia="Times New Roman" w:hAnsi="Calibri" w:cs="Calibri"/>
          <w:kern w:val="0"/>
          <w:sz w:val="22"/>
          <w:szCs w:val="22"/>
          <w14:ligatures w14:val="none"/>
        </w:rPr>
        <w:t xml:space="preserve"> </w:t>
      </w:r>
      <w:r w:rsidRPr="004F01AF">
        <w:rPr>
          <w:rFonts w:ascii="Calibri" w:eastAsia="Times New Roman" w:hAnsi="Calibri" w:cs="Calibri"/>
          <w:kern w:val="0"/>
          <w:sz w:val="22"/>
          <w:szCs w:val="22"/>
          <w14:ligatures w14:val="none"/>
        </w:rPr>
        <w:t>ha</w:t>
      </w:r>
      <w:r w:rsidR="00132F20" w:rsidRPr="00132F20">
        <w:rPr>
          <w:rFonts w:ascii="Calibri" w:eastAsia="Times New Roman" w:hAnsi="Calibri" w:cs="Calibri"/>
          <w:kern w:val="0"/>
          <w:sz w:val="22"/>
          <w:szCs w:val="22"/>
          <w14:ligatures w14:val="none"/>
        </w:rPr>
        <w:t>ve also</w:t>
      </w:r>
      <w:r w:rsidRPr="004F01AF">
        <w:rPr>
          <w:rFonts w:ascii="Calibri" w:eastAsia="Times New Roman" w:hAnsi="Calibri" w:cs="Calibri"/>
          <w:kern w:val="0"/>
          <w:sz w:val="22"/>
          <w:szCs w:val="22"/>
          <w14:ligatures w14:val="none"/>
        </w:rPr>
        <w:t xml:space="preserve"> been instrumental in promoting the implementation of the BWC and supporting efforts to prevent bioterrorism. Through various programs and collaborations, UNODA facilitates dialogue and cooperation among member states to strengthen biological disarmament. These UN-led efforts reflect a sustained commitment to mitigating the risks associated with biological weapons and ensuring global security.</w:t>
      </w:r>
    </w:p>
    <w:p w14:paraId="78312A3F" w14:textId="0C77F9DF" w:rsidR="00132F20" w:rsidRDefault="00132F20" w:rsidP="00132F20">
      <w:pPr>
        <w:spacing w:line="360" w:lineRule="auto"/>
        <w:rPr>
          <w:rFonts w:ascii="Calibri" w:hAnsi="Calibri" w:cs="Calibri"/>
          <w:b/>
          <w:bCs/>
          <w:sz w:val="28"/>
          <w:szCs w:val="28"/>
        </w:rPr>
      </w:pPr>
      <w:r w:rsidRPr="00132F20">
        <w:rPr>
          <w:rFonts w:ascii="Calibri" w:hAnsi="Calibri" w:cs="Calibri"/>
          <w:b/>
          <w:bCs/>
          <w:sz w:val="28"/>
          <w:szCs w:val="28"/>
        </w:rPr>
        <w:t>Previous Attempts to solve the Issue.</w:t>
      </w:r>
    </w:p>
    <w:p w14:paraId="453DFE96" w14:textId="15AD3342" w:rsidR="00B5153D" w:rsidRPr="00B5153D" w:rsidRDefault="00132F20" w:rsidP="00B5153D">
      <w:pPr>
        <w:pStyle w:val="NormalWeb"/>
        <w:rPr>
          <w:rFonts w:ascii="Calibri" w:hAnsi="Calibri" w:cs="Calibri"/>
          <w:sz w:val="22"/>
          <w:szCs w:val="22"/>
        </w:rPr>
      </w:pPr>
      <w:r w:rsidRPr="00B5153D">
        <w:rPr>
          <w:rFonts w:ascii="Calibri" w:hAnsi="Calibri" w:cs="Calibri"/>
          <w:sz w:val="22"/>
          <w:szCs w:val="22"/>
        </w:rPr>
        <w:t xml:space="preserve">Methods used to combat the threat that biological weapons pose have evolved greatly over time,  involving international treaties, national regulations and global initiatives. International treaties and conventions such as the Geneva Protocol (1925) which prohibits the use of biological and chemical weapons in warfare, however it didn’t address </w:t>
      </w:r>
      <w:r w:rsidR="00B5153D" w:rsidRPr="00B5153D">
        <w:rPr>
          <w:rFonts w:ascii="Calibri" w:hAnsi="Calibri" w:cs="Calibri"/>
          <w:sz w:val="22"/>
          <w:szCs w:val="22"/>
        </w:rPr>
        <w:t xml:space="preserve">their development, production or include enforcement machanisms. As well as the Biological Weapons Convention (1972), being the first multinational disarmament treaty </w:t>
      </w:r>
      <w:r w:rsidR="00B5153D" w:rsidRPr="00B5153D">
        <w:rPr>
          <w:rFonts w:ascii="Calibri" w:hAnsi="Calibri" w:cs="Calibri"/>
          <w:sz w:val="22"/>
          <w:szCs w:val="22"/>
        </w:rPr>
        <w:t>to ban an entire category of weapons of mass destruction. It prohibits the development, production, acquisition, transfer, stockpiling, and use of biological and toxin weapons.</w:t>
      </w:r>
      <w:r w:rsidR="00B5153D" w:rsidRPr="00B5153D">
        <w:rPr>
          <w:rFonts w:ascii="Calibri" w:hAnsi="Calibri" w:cs="Calibri"/>
          <w:sz w:val="22"/>
          <w:szCs w:val="22"/>
        </w:rPr>
        <w:t xml:space="preserve"> However,</w:t>
      </w:r>
      <w:r w:rsidR="00B5153D" w:rsidRPr="00B5153D">
        <w:rPr>
          <w:rFonts w:ascii="Calibri" w:hAnsi="Calibri" w:cs="Calibri"/>
          <w:sz w:val="22"/>
          <w:szCs w:val="22"/>
        </w:rPr>
        <w:t xml:space="preserve"> </w:t>
      </w:r>
      <w:r w:rsidR="00B5153D" w:rsidRPr="00B5153D">
        <w:rPr>
          <w:rFonts w:ascii="Calibri" w:hAnsi="Calibri" w:cs="Calibri"/>
          <w:sz w:val="22"/>
          <w:szCs w:val="22"/>
        </w:rPr>
        <w:t>d</w:t>
      </w:r>
      <w:r w:rsidR="00B5153D" w:rsidRPr="00B5153D">
        <w:rPr>
          <w:rFonts w:ascii="Calibri" w:hAnsi="Calibri" w:cs="Calibri"/>
          <w:sz w:val="22"/>
          <w:szCs w:val="22"/>
        </w:rPr>
        <w:t>espite its significance, challenges remain in ensuring compliance</w:t>
      </w:r>
      <w:r w:rsidR="00B5153D" w:rsidRPr="00B5153D">
        <w:rPr>
          <w:rFonts w:ascii="Calibri" w:hAnsi="Calibri" w:cs="Calibri"/>
          <w:sz w:val="22"/>
          <w:szCs w:val="22"/>
        </w:rPr>
        <w:t>.</w:t>
      </w:r>
      <w:r w:rsidR="00B5153D" w:rsidRPr="00B5153D">
        <w:rPr>
          <w:rStyle w:val="Strong"/>
          <w:rFonts w:ascii="Calibri" w:eastAsiaTheme="majorEastAsia" w:hAnsi="Calibri" w:cs="Calibri"/>
          <w:sz w:val="22"/>
          <w:szCs w:val="22"/>
        </w:rPr>
        <w:t xml:space="preserve"> </w:t>
      </w:r>
      <w:r w:rsidR="00B5153D" w:rsidRPr="00B5153D">
        <w:rPr>
          <w:rFonts w:ascii="Calibri" w:hAnsi="Calibri" w:cs="Calibri"/>
          <w:sz w:val="22"/>
          <w:szCs w:val="22"/>
        </w:rPr>
        <w:t>National Regulations</w:t>
      </w:r>
      <w:r w:rsidR="00B5153D" w:rsidRPr="00B5153D">
        <w:rPr>
          <w:rFonts w:ascii="Calibri" w:hAnsi="Calibri" w:cs="Calibri"/>
          <w:sz w:val="22"/>
          <w:szCs w:val="22"/>
        </w:rPr>
        <w:t xml:space="preserve"> such as the </w:t>
      </w:r>
      <w:r w:rsidR="00B5153D" w:rsidRPr="00B5153D">
        <w:rPr>
          <w:rFonts w:ascii="Calibri" w:hAnsi="Calibri" w:cs="Calibri"/>
          <w:sz w:val="22"/>
          <w:szCs w:val="22"/>
        </w:rPr>
        <w:t xml:space="preserve">Federal Select Agent Program (FSAP) </w:t>
      </w:r>
      <w:r w:rsidR="00B5153D" w:rsidRPr="00B5153D">
        <w:rPr>
          <w:rFonts w:ascii="Calibri" w:hAnsi="Calibri" w:cs="Calibri"/>
          <w:sz w:val="22"/>
          <w:szCs w:val="22"/>
        </w:rPr>
        <w:t>formed i</w:t>
      </w:r>
      <w:r w:rsidR="00B5153D" w:rsidRPr="00B5153D">
        <w:rPr>
          <w:rFonts w:ascii="Calibri" w:hAnsi="Calibri" w:cs="Calibri"/>
          <w:sz w:val="22"/>
          <w:szCs w:val="22"/>
        </w:rPr>
        <w:t>n response to bioterrorism threats, the United States established the FSAP to regulate the possession, use, and transfer of biological agents and toxins that could pose a severe threat to public health and safety</w:t>
      </w:r>
      <w:r w:rsidR="00B5153D" w:rsidRPr="00B5153D">
        <w:rPr>
          <w:rFonts w:ascii="Calibri" w:hAnsi="Calibri" w:cs="Calibri"/>
          <w:sz w:val="22"/>
          <w:szCs w:val="22"/>
        </w:rPr>
        <w:t>.</w:t>
      </w:r>
      <w:r w:rsidR="00B5153D" w:rsidRPr="00B5153D">
        <w:rPr>
          <w:rStyle w:val="Strong"/>
          <w:rFonts w:ascii="Calibri" w:eastAsiaTheme="majorEastAsia" w:hAnsi="Calibri" w:cs="Calibri"/>
          <w:sz w:val="22"/>
          <w:szCs w:val="22"/>
        </w:rPr>
        <w:t xml:space="preserve"> </w:t>
      </w:r>
      <w:r w:rsidR="00B5153D" w:rsidRPr="00B5153D">
        <w:rPr>
          <w:rFonts w:ascii="Calibri" w:hAnsi="Calibri" w:cs="Calibri"/>
          <w:sz w:val="22"/>
          <w:szCs w:val="22"/>
        </w:rPr>
        <w:t>Global Initiatives</w:t>
      </w:r>
      <w:r w:rsidR="00B5153D" w:rsidRPr="00B5153D">
        <w:rPr>
          <w:rFonts w:ascii="Calibri" w:hAnsi="Calibri" w:cs="Calibri"/>
          <w:sz w:val="22"/>
          <w:szCs w:val="22"/>
        </w:rPr>
        <w:t xml:space="preserve"> include the </w:t>
      </w:r>
      <w:r w:rsidR="00B5153D" w:rsidRPr="00B5153D">
        <w:rPr>
          <w:rFonts w:ascii="Calibri" w:hAnsi="Calibri" w:cs="Calibri"/>
          <w:sz w:val="22"/>
          <w:szCs w:val="22"/>
        </w:rPr>
        <w:t xml:space="preserve">UN Security Council Resolution 1540 (2004): </w:t>
      </w:r>
      <w:r w:rsidR="00B5153D">
        <w:rPr>
          <w:rFonts w:ascii="Calibri" w:hAnsi="Calibri" w:cs="Calibri"/>
          <w:sz w:val="22"/>
          <w:szCs w:val="22"/>
        </w:rPr>
        <w:t>t</w:t>
      </w:r>
      <w:r w:rsidR="00B5153D" w:rsidRPr="00B5153D">
        <w:rPr>
          <w:rFonts w:ascii="Calibri" w:hAnsi="Calibri" w:cs="Calibri"/>
          <w:sz w:val="22"/>
          <w:szCs w:val="22"/>
        </w:rPr>
        <w:t>his resolution obligates UN member states to implement measures preventing non-state actors from acquiring nuclear, chemical, and biological weapons, emphasizing the need for comprehensive controls to prevent bioterrorism.</w:t>
      </w:r>
    </w:p>
    <w:p w14:paraId="5D9B78ED" w14:textId="77EC99DE" w:rsidR="00132F20" w:rsidRDefault="00132F20" w:rsidP="00B5153D">
      <w:pPr>
        <w:pStyle w:val="NormalWeb"/>
        <w:jc w:val="both"/>
        <w:rPr>
          <w:rFonts w:ascii="Calibri" w:hAnsi="Calibri" w:cs="Calibri"/>
          <w:b/>
          <w:bCs/>
          <w:sz w:val="28"/>
          <w:szCs w:val="28"/>
        </w:rPr>
      </w:pPr>
      <w:r w:rsidRPr="00132F20">
        <w:rPr>
          <w:rFonts w:ascii="Calibri" w:hAnsi="Calibri" w:cs="Calibri"/>
          <w:b/>
          <w:bCs/>
          <w:sz w:val="28"/>
          <w:szCs w:val="28"/>
        </w:rPr>
        <w:lastRenderedPageBreak/>
        <w:t>Possible Solutions</w:t>
      </w:r>
    </w:p>
    <w:p w14:paraId="399D3D4B" w14:textId="78B44B61" w:rsidR="00B5153D" w:rsidRDefault="00B5153D" w:rsidP="00B5153D">
      <w:pPr>
        <w:pStyle w:val="NormalWeb"/>
        <w:jc w:val="both"/>
      </w:pPr>
      <w:r>
        <w:rPr>
          <w:rFonts w:ascii="Calibri" w:hAnsi="Calibri" w:cs="Calibri"/>
          <w:sz w:val="22"/>
          <w:szCs w:val="22"/>
        </w:rPr>
        <w:t>To combat this issue of biological weapons</w:t>
      </w:r>
      <w:r w:rsidR="00ED7CBA">
        <w:rPr>
          <w:rFonts w:ascii="Calibri" w:hAnsi="Calibri" w:cs="Calibri"/>
          <w:sz w:val="22"/>
          <w:szCs w:val="22"/>
        </w:rPr>
        <w:t xml:space="preserve">, many ideas can be considered. First strengthening international treaties such as the BWC by enforcing the gaps it has not properly covered such as additional clauses to increase verification methods that can be enforced and more reserch in the dual use of biotechnology. As well as improving monitoring and detection systems, since early detection is vital to preventing bioterrorism, a form of global surveilance can be proposed to allow the monitoring of unusual outbreaks of infectious diseases. Investing in research and development will greatly aid in the prevention of bioterrorism to shed more light on this topic with </w:t>
      </w:r>
      <w:r w:rsidR="00ED7CBA">
        <w:t>g</w:t>
      </w:r>
      <w:r w:rsidR="00ED7CBA">
        <w:t>overnments and private sectors should invest</w:t>
      </w:r>
      <w:r w:rsidR="00ED7CBA">
        <w:t>ing</w:t>
      </w:r>
      <w:r w:rsidR="00ED7CBA">
        <w:t xml:space="preserve"> in rapid-response vaccine and therapeutic development platforms. </w:t>
      </w:r>
      <w:r w:rsidR="00ED7CBA">
        <w:t>Since i</w:t>
      </w:r>
      <w:r w:rsidR="00ED7CBA">
        <w:t>n the event of a bioterrorism attack, quick access to effective treatments and vaccines is crucial for mitigating the spread of biological agents.</w:t>
      </w:r>
    </w:p>
    <w:p w14:paraId="65E0EDFD" w14:textId="77777777" w:rsidR="00865D12" w:rsidRPr="00865D12" w:rsidRDefault="00865D12" w:rsidP="00865D12">
      <w:pPr>
        <w:pStyle w:val="Heading3"/>
        <w:rPr>
          <w:rFonts w:ascii="Calibri" w:hAnsi="Calibri" w:cs="Calibri"/>
          <w:color w:val="auto"/>
        </w:rPr>
      </w:pPr>
      <w:r w:rsidRPr="00865D12">
        <w:rPr>
          <w:rStyle w:val="Strong"/>
          <w:rFonts w:ascii="Calibri" w:hAnsi="Calibri" w:cs="Calibri"/>
          <w:color w:val="auto"/>
        </w:rPr>
        <w:t>Bibliography</w:t>
      </w:r>
    </w:p>
    <w:p w14:paraId="0116E6DE" w14:textId="77777777" w:rsidR="00865D12" w:rsidRPr="00865D12" w:rsidRDefault="00865D12" w:rsidP="00865D12">
      <w:pPr>
        <w:pStyle w:val="NormalWeb"/>
        <w:numPr>
          <w:ilvl w:val="0"/>
          <w:numId w:val="6"/>
        </w:numPr>
        <w:rPr>
          <w:rFonts w:ascii="Calibri" w:hAnsi="Calibri" w:cs="Calibri"/>
          <w:sz w:val="22"/>
          <w:szCs w:val="22"/>
        </w:rPr>
      </w:pPr>
      <w:r w:rsidRPr="00865D12">
        <w:rPr>
          <w:rFonts w:ascii="Calibri" w:hAnsi="Calibri" w:cs="Calibri"/>
          <w:sz w:val="22"/>
          <w:szCs w:val="22"/>
        </w:rPr>
        <w:t xml:space="preserve">Arms Control Association. (n.d.). </w:t>
      </w:r>
      <w:r w:rsidRPr="00865D12">
        <w:rPr>
          <w:rStyle w:val="Emphasis"/>
          <w:rFonts w:ascii="Calibri" w:eastAsiaTheme="majorEastAsia" w:hAnsi="Calibri" w:cs="Calibri"/>
          <w:sz w:val="22"/>
          <w:szCs w:val="22"/>
        </w:rPr>
        <w:t>Fact sheet: Biological weapons</w:t>
      </w:r>
      <w:r w:rsidRPr="00865D12">
        <w:rPr>
          <w:rFonts w:ascii="Calibri" w:hAnsi="Calibri" w:cs="Calibri"/>
          <w:sz w:val="22"/>
          <w:szCs w:val="22"/>
        </w:rPr>
        <w:t xml:space="preserve">. Arms Control Association. Retrieved from </w:t>
      </w:r>
      <w:hyperlink r:id="rId6" w:tgtFrame="_new" w:history="1">
        <w:r w:rsidRPr="00865D12">
          <w:rPr>
            <w:rStyle w:val="Hyperlink"/>
            <w:rFonts w:ascii="Calibri" w:eastAsiaTheme="majorEastAsia" w:hAnsi="Calibri" w:cs="Calibri"/>
            <w:sz w:val="22"/>
            <w:szCs w:val="22"/>
          </w:rPr>
          <w:t>https://armscontrolcenter.org/fact-sheet-biological-weapons/</w:t>
        </w:r>
      </w:hyperlink>
    </w:p>
    <w:p w14:paraId="66A391F6" w14:textId="77777777" w:rsidR="00865D12" w:rsidRPr="00865D12" w:rsidRDefault="00865D12" w:rsidP="00865D12">
      <w:pPr>
        <w:pStyle w:val="NormalWeb"/>
        <w:numPr>
          <w:ilvl w:val="0"/>
          <w:numId w:val="6"/>
        </w:numPr>
        <w:rPr>
          <w:rFonts w:ascii="Calibri" w:hAnsi="Calibri" w:cs="Calibri"/>
          <w:sz w:val="22"/>
          <w:szCs w:val="22"/>
        </w:rPr>
      </w:pPr>
      <w:r w:rsidRPr="00865D12">
        <w:rPr>
          <w:rFonts w:ascii="Calibri" w:hAnsi="Calibri" w:cs="Calibri"/>
          <w:sz w:val="22"/>
          <w:szCs w:val="22"/>
        </w:rPr>
        <w:t xml:space="preserve">Centers for Disease Control and Prevention (CDC). (n.d.). </w:t>
      </w:r>
      <w:r w:rsidRPr="00865D12">
        <w:rPr>
          <w:rStyle w:val="Emphasis"/>
          <w:rFonts w:ascii="Calibri" w:eastAsiaTheme="majorEastAsia" w:hAnsi="Calibri" w:cs="Calibri"/>
          <w:sz w:val="22"/>
          <w:szCs w:val="22"/>
        </w:rPr>
        <w:t>Bioterrorism and public health preparedness</w:t>
      </w:r>
      <w:r w:rsidRPr="00865D12">
        <w:rPr>
          <w:rFonts w:ascii="Calibri" w:hAnsi="Calibri" w:cs="Calibri"/>
          <w:sz w:val="22"/>
          <w:szCs w:val="22"/>
        </w:rPr>
        <w:t xml:space="preserve">. Centers for Disease Control and Prevention. Retrieved from </w:t>
      </w:r>
      <w:hyperlink r:id="rId7" w:tgtFrame="_new" w:history="1">
        <w:r w:rsidRPr="00865D12">
          <w:rPr>
            <w:rStyle w:val="Hyperlink"/>
            <w:rFonts w:ascii="Calibri" w:eastAsiaTheme="majorEastAsia" w:hAnsi="Calibri" w:cs="Calibri"/>
            <w:sz w:val="22"/>
            <w:szCs w:val="22"/>
          </w:rPr>
          <w:t>https://www.cdc.gov/phpr/whatwedo.htm</w:t>
        </w:r>
      </w:hyperlink>
    </w:p>
    <w:p w14:paraId="2C2376DE" w14:textId="77777777" w:rsidR="00865D12" w:rsidRPr="00865D12" w:rsidRDefault="00865D12" w:rsidP="00865D12">
      <w:pPr>
        <w:pStyle w:val="NormalWeb"/>
        <w:numPr>
          <w:ilvl w:val="0"/>
          <w:numId w:val="6"/>
        </w:numPr>
        <w:rPr>
          <w:rFonts w:ascii="Calibri" w:hAnsi="Calibri" w:cs="Calibri"/>
          <w:sz w:val="22"/>
          <w:szCs w:val="22"/>
        </w:rPr>
      </w:pPr>
      <w:r w:rsidRPr="00865D12">
        <w:rPr>
          <w:rFonts w:ascii="Calibri" w:hAnsi="Calibri" w:cs="Calibri"/>
          <w:sz w:val="22"/>
          <w:szCs w:val="22"/>
        </w:rPr>
        <w:t xml:space="preserve">Disarmament Affairs, United Nations. (n.d.). </w:t>
      </w:r>
      <w:r w:rsidRPr="00865D12">
        <w:rPr>
          <w:rStyle w:val="Emphasis"/>
          <w:rFonts w:ascii="Calibri" w:eastAsiaTheme="majorEastAsia" w:hAnsi="Calibri" w:cs="Calibri"/>
          <w:sz w:val="22"/>
          <w:szCs w:val="22"/>
        </w:rPr>
        <w:t>Biological weapons</w:t>
      </w:r>
      <w:r w:rsidRPr="00865D12">
        <w:rPr>
          <w:rFonts w:ascii="Calibri" w:hAnsi="Calibri" w:cs="Calibri"/>
          <w:sz w:val="22"/>
          <w:szCs w:val="22"/>
        </w:rPr>
        <w:t xml:space="preserve">. United Nations Office for Disarmament Affairs (UNODA). Retrieved from </w:t>
      </w:r>
      <w:hyperlink r:id="rId8" w:tgtFrame="_new" w:history="1">
        <w:r w:rsidRPr="00865D12">
          <w:rPr>
            <w:rStyle w:val="Hyperlink"/>
            <w:rFonts w:ascii="Calibri" w:eastAsiaTheme="majorEastAsia" w:hAnsi="Calibri" w:cs="Calibri"/>
            <w:sz w:val="22"/>
            <w:szCs w:val="22"/>
          </w:rPr>
          <w:t>https://disarmament.unoda.org/biological-weapons/</w:t>
        </w:r>
      </w:hyperlink>
    </w:p>
    <w:p w14:paraId="6793E22F" w14:textId="77777777" w:rsidR="00865D12" w:rsidRPr="00865D12" w:rsidRDefault="00865D12" w:rsidP="00865D12">
      <w:pPr>
        <w:pStyle w:val="NormalWeb"/>
        <w:numPr>
          <w:ilvl w:val="0"/>
          <w:numId w:val="6"/>
        </w:numPr>
        <w:rPr>
          <w:rFonts w:ascii="Calibri" w:hAnsi="Calibri" w:cs="Calibri"/>
          <w:sz w:val="22"/>
          <w:szCs w:val="22"/>
        </w:rPr>
      </w:pPr>
      <w:r w:rsidRPr="00865D12">
        <w:rPr>
          <w:rFonts w:ascii="Calibri" w:hAnsi="Calibri" w:cs="Calibri"/>
          <w:sz w:val="22"/>
          <w:szCs w:val="22"/>
        </w:rPr>
        <w:t xml:space="preserve">National Biodefense Strategy and Implementation Plan (2022). </w:t>
      </w:r>
      <w:r w:rsidRPr="00865D12">
        <w:rPr>
          <w:rStyle w:val="Emphasis"/>
          <w:rFonts w:ascii="Calibri" w:eastAsiaTheme="majorEastAsia" w:hAnsi="Calibri" w:cs="Calibri"/>
          <w:sz w:val="22"/>
          <w:szCs w:val="22"/>
        </w:rPr>
        <w:t>The White House</w:t>
      </w:r>
      <w:r w:rsidRPr="00865D12">
        <w:rPr>
          <w:rFonts w:ascii="Calibri" w:hAnsi="Calibri" w:cs="Calibri"/>
          <w:sz w:val="22"/>
          <w:szCs w:val="22"/>
        </w:rPr>
        <w:t xml:space="preserve">. Retrieved from </w:t>
      </w:r>
      <w:hyperlink r:id="rId9" w:tgtFrame="_new" w:history="1">
        <w:r w:rsidRPr="00865D12">
          <w:rPr>
            <w:rStyle w:val="Hyperlink"/>
            <w:rFonts w:ascii="Calibri" w:eastAsiaTheme="majorEastAsia" w:hAnsi="Calibri" w:cs="Calibri"/>
            <w:sz w:val="22"/>
            <w:szCs w:val="22"/>
          </w:rPr>
          <w:t>https://www.whitehouse.gov/wp-content/uploads/2022/10/National-Biodefense-Strategy-and-Implementation-Plan-Final.pdf</w:t>
        </w:r>
      </w:hyperlink>
    </w:p>
    <w:p w14:paraId="2F59267A" w14:textId="77777777" w:rsidR="00865D12" w:rsidRPr="00865D12" w:rsidRDefault="00865D12" w:rsidP="00865D12">
      <w:pPr>
        <w:pStyle w:val="NormalWeb"/>
        <w:numPr>
          <w:ilvl w:val="0"/>
          <w:numId w:val="6"/>
        </w:numPr>
        <w:rPr>
          <w:rFonts w:ascii="Calibri" w:hAnsi="Calibri" w:cs="Calibri"/>
          <w:sz w:val="22"/>
          <w:szCs w:val="22"/>
        </w:rPr>
      </w:pPr>
      <w:r w:rsidRPr="00865D12">
        <w:rPr>
          <w:rFonts w:ascii="Calibri" w:hAnsi="Calibri" w:cs="Calibri"/>
          <w:sz w:val="22"/>
          <w:szCs w:val="22"/>
        </w:rPr>
        <w:t xml:space="preserve">National Institutes of Health (NIH). (n.d.). </w:t>
      </w:r>
      <w:r w:rsidRPr="00865D12">
        <w:rPr>
          <w:rStyle w:val="Emphasis"/>
          <w:rFonts w:ascii="Calibri" w:eastAsiaTheme="majorEastAsia" w:hAnsi="Calibri" w:cs="Calibri"/>
          <w:sz w:val="22"/>
          <w:szCs w:val="22"/>
        </w:rPr>
        <w:t>Biodefense research</w:t>
      </w:r>
      <w:r w:rsidRPr="00865D12">
        <w:rPr>
          <w:rFonts w:ascii="Calibri" w:hAnsi="Calibri" w:cs="Calibri"/>
          <w:sz w:val="22"/>
          <w:szCs w:val="22"/>
        </w:rPr>
        <w:t xml:space="preserve">. National Institute of Allergy and Infectious Diseases (NIAID). Retrieved from </w:t>
      </w:r>
      <w:hyperlink r:id="rId10" w:tgtFrame="_new" w:history="1">
        <w:r w:rsidRPr="00865D12">
          <w:rPr>
            <w:rStyle w:val="Hyperlink"/>
            <w:rFonts w:ascii="Calibri" w:eastAsiaTheme="majorEastAsia" w:hAnsi="Calibri" w:cs="Calibri"/>
            <w:sz w:val="22"/>
            <w:szCs w:val="22"/>
          </w:rPr>
          <w:t>https://www.niaid.nih.gov/</w:t>
        </w:r>
      </w:hyperlink>
    </w:p>
    <w:p w14:paraId="0A25E466" w14:textId="77777777" w:rsidR="00865D12" w:rsidRPr="00865D12" w:rsidRDefault="00865D12" w:rsidP="00865D12">
      <w:pPr>
        <w:pStyle w:val="NormalWeb"/>
        <w:numPr>
          <w:ilvl w:val="0"/>
          <w:numId w:val="6"/>
        </w:numPr>
        <w:rPr>
          <w:rFonts w:ascii="Calibri" w:hAnsi="Calibri" w:cs="Calibri"/>
          <w:sz w:val="22"/>
          <w:szCs w:val="22"/>
        </w:rPr>
      </w:pPr>
      <w:r w:rsidRPr="00865D12">
        <w:rPr>
          <w:rFonts w:ascii="Calibri" w:hAnsi="Calibri" w:cs="Calibri"/>
          <w:sz w:val="22"/>
          <w:szCs w:val="22"/>
        </w:rPr>
        <w:t xml:space="preserve">National Research Council. (2004). </w:t>
      </w:r>
      <w:r w:rsidRPr="00865D12">
        <w:rPr>
          <w:rStyle w:val="Emphasis"/>
          <w:rFonts w:ascii="Calibri" w:eastAsiaTheme="majorEastAsia" w:hAnsi="Calibri" w:cs="Calibri"/>
          <w:sz w:val="22"/>
          <w:szCs w:val="22"/>
        </w:rPr>
        <w:t>Biotechnology research in an age of terrorism</w:t>
      </w:r>
      <w:r w:rsidRPr="00865D12">
        <w:rPr>
          <w:rFonts w:ascii="Calibri" w:hAnsi="Calibri" w:cs="Calibri"/>
          <w:sz w:val="22"/>
          <w:szCs w:val="22"/>
        </w:rPr>
        <w:t xml:space="preserve">. National Academies Press. Retrieved from </w:t>
      </w:r>
      <w:hyperlink r:id="rId11" w:tgtFrame="_new" w:history="1">
        <w:r w:rsidRPr="00865D12">
          <w:rPr>
            <w:rStyle w:val="Hyperlink"/>
            <w:rFonts w:ascii="Calibri" w:eastAsiaTheme="majorEastAsia" w:hAnsi="Calibri" w:cs="Calibri"/>
            <w:sz w:val="22"/>
            <w:szCs w:val="22"/>
          </w:rPr>
          <w:t>https://www.nap.edu/catalog/10827/biotechnology-research-in-an-age-of-terrorism</w:t>
        </w:r>
      </w:hyperlink>
    </w:p>
    <w:p w14:paraId="6AB7DADE" w14:textId="77777777" w:rsidR="00865D12" w:rsidRPr="00865D12" w:rsidRDefault="00865D12" w:rsidP="00865D12">
      <w:pPr>
        <w:pStyle w:val="NormalWeb"/>
        <w:numPr>
          <w:ilvl w:val="0"/>
          <w:numId w:val="6"/>
        </w:numPr>
        <w:rPr>
          <w:rFonts w:ascii="Calibri" w:hAnsi="Calibri" w:cs="Calibri"/>
          <w:sz w:val="22"/>
          <w:szCs w:val="22"/>
        </w:rPr>
      </w:pPr>
      <w:r w:rsidRPr="00865D12">
        <w:rPr>
          <w:rFonts w:ascii="Calibri" w:hAnsi="Calibri" w:cs="Calibri"/>
          <w:sz w:val="22"/>
          <w:szCs w:val="22"/>
        </w:rPr>
        <w:t xml:space="preserve">Nature Medicine. (2002). </w:t>
      </w:r>
      <w:r w:rsidRPr="00865D12">
        <w:rPr>
          <w:rStyle w:val="Emphasis"/>
          <w:rFonts w:ascii="Calibri" w:eastAsiaTheme="majorEastAsia" w:hAnsi="Calibri" w:cs="Calibri"/>
          <w:sz w:val="22"/>
          <w:szCs w:val="22"/>
        </w:rPr>
        <w:t>Advances in detecting and responding to threats from bioterrorism</w:t>
      </w:r>
      <w:r w:rsidRPr="00865D12">
        <w:rPr>
          <w:rFonts w:ascii="Calibri" w:hAnsi="Calibri" w:cs="Calibri"/>
          <w:sz w:val="22"/>
          <w:szCs w:val="22"/>
        </w:rPr>
        <w:t xml:space="preserve">. Nature Medicine, 10(1), 10-11. Retrieved from </w:t>
      </w:r>
      <w:hyperlink r:id="rId12" w:tgtFrame="_new" w:history="1">
        <w:r w:rsidRPr="00865D12">
          <w:rPr>
            <w:rStyle w:val="Hyperlink"/>
            <w:rFonts w:ascii="Calibri" w:eastAsiaTheme="majorEastAsia" w:hAnsi="Calibri" w:cs="Calibri"/>
            <w:sz w:val="22"/>
            <w:szCs w:val="22"/>
          </w:rPr>
          <w:t>https://www.nature.com/articles/nm0102-10</w:t>
        </w:r>
      </w:hyperlink>
    </w:p>
    <w:p w14:paraId="2A54713C" w14:textId="77777777" w:rsidR="00865D12" w:rsidRPr="00865D12" w:rsidRDefault="00865D12" w:rsidP="00865D12">
      <w:pPr>
        <w:pStyle w:val="NormalWeb"/>
        <w:numPr>
          <w:ilvl w:val="0"/>
          <w:numId w:val="6"/>
        </w:numPr>
        <w:rPr>
          <w:rFonts w:ascii="Calibri" w:hAnsi="Calibri" w:cs="Calibri"/>
          <w:sz w:val="22"/>
          <w:szCs w:val="22"/>
        </w:rPr>
      </w:pPr>
      <w:r w:rsidRPr="00865D12">
        <w:rPr>
          <w:rFonts w:ascii="Calibri" w:hAnsi="Calibri" w:cs="Calibri"/>
          <w:sz w:val="22"/>
          <w:szCs w:val="22"/>
        </w:rPr>
        <w:t xml:space="preserve">PMC. (2009). </w:t>
      </w:r>
      <w:r w:rsidRPr="00865D12">
        <w:rPr>
          <w:rStyle w:val="Emphasis"/>
          <w:rFonts w:ascii="Calibri" w:eastAsiaTheme="majorEastAsia" w:hAnsi="Calibri" w:cs="Calibri"/>
          <w:sz w:val="22"/>
          <w:szCs w:val="22"/>
        </w:rPr>
        <w:t>Anthrax bioterrorism: Lessons learned and future directions</w:t>
      </w:r>
      <w:r w:rsidRPr="00865D12">
        <w:rPr>
          <w:rFonts w:ascii="Calibri" w:hAnsi="Calibri" w:cs="Calibri"/>
          <w:sz w:val="22"/>
          <w:szCs w:val="22"/>
        </w:rPr>
        <w:t xml:space="preserve">. PubMed Central. Retrieved from </w:t>
      </w:r>
      <w:hyperlink r:id="rId13" w:tgtFrame="_new" w:history="1">
        <w:r w:rsidRPr="00865D12">
          <w:rPr>
            <w:rStyle w:val="Hyperlink"/>
            <w:rFonts w:ascii="Calibri" w:eastAsiaTheme="majorEastAsia" w:hAnsi="Calibri" w:cs="Calibri"/>
            <w:sz w:val="22"/>
            <w:szCs w:val="22"/>
          </w:rPr>
          <w:t>https://pmc.ncbi.nlm.nih.gov/articles/PMC2730306/</w:t>
        </w:r>
      </w:hyperlink>
    </w:p>
    <w:p w14:paraId="0488C492" w14:textId="77777777" w:rsidR="00865D12" w:rsidRPr="00865D12" w:rsidRDefault="00865D12" w:rsidP="00865D12">
      <w:pPr>
        <w:pStyle w:val="NormalWeb"/>
        <w:numPr>
          <w:ilvl w:val="0"/>
          <w:numId w:val="6"/>
        </w:numPr>
        <w:rPr>
          <w:rFonts w:ascii="Calibri" w:hAnsi="Calibri" w:cs="Calibri"/>
          <w:sz w:val="22"/>
          <w:szCs w:val="22"/>
        </w:rPr>
      </w:pPr>
      <w:r w:rsidRPr="00865D12">
        <w:rPr>
          <w:rFonts w:ascii="Calibri" w:hAnsi="Calibri" w:cs="Calibri"/>
          <w:sz w:val="22"/>
          <w:szCs w:val="22"/>
        </w:rPr>
        <w:t xml:space="preserve">United Nations. (n.d.). </w:t>
      </w:r>
      <w:r w:rsidRPr="00865D12">
        <w:rPr>
          <w:rStyle w:val="Emphasis"/>
          <w:rFonts w:ascii="Calibri" w:eastAsiaTheme="majorEastAsia" w:hAnsi="Calibri" w:cs="Calibri"/>
          <w:sz w:val="22"/>
          <w:szCs w:val="22"/>
        </w:rPr>
        <w:t>Biological weapons and bioterrorism</w:t>
      </w:r>
      <w:r w:rsidRPr="00865D12">
        <w:rPr>
          <w:rFonts w:ascii="Calibri" w:hAnsi="Calibri" w:cs="Calibri"/>
          <w:sz w:val="22"/>
          <w:szCs w:val="22"/>
        </w:rPr>
        <w:t xml:space="preserve">. United Nations Office for Disarmament Affairs (UNODA). Retrieved from </w:t>
      </w:r>
      <w:hyperlink r:id="rId14" w:tgtFrame="_new" w:history="1">
        <w:r w:rsidRPr="00865D12">
          <w:rPr>
            <w:rStyle w:val="Hyperlink"/>
            <w:rFonts w:ascii="Calibri" w:eastAsiaTheme="majorEastAsia" w:hAnsi="Calibri" w:cs="Calibri"/>
            <w:sz w:val="22"/>
            <w:szCs w:val="22"/>
          </w:rPr>
          <w:t>https://www.un.org/disarmament/biological-weapons/</w:t>
        </w:r>
      </w:hyperlink>
    </w:p>
    <w:p w14:paraId="0DE9CA3E" w14:textId="77777777" w:rsidR="00865D12" w:rsidRPr="00865D12" w:rsidRDefault="00865D12" w:rsidP="00865D12">
      <w:pPr>
        <w:pStyle w:val="NormalWeb"/>
        <w:numPr>
          <w:ilvl w:val="0"/>
          <w:numId w:val="6"/>
        </w:numPr>
        <w:rPr>
          <w:rFonts w:ascii="Calibri" w:hAnsi="Calibri" w:cs="Calibri"/>
          <w:sz w:val="22"/>
          <w:szCs w:val="22"/>
        </w:rPr>
      </w:pPr>
      <w:r w:rsidRPr="00865D12">
        <w:rPr>
          <w:rFonts w:ascii="Calibri" w:hAnsi="Calibri" w:cs="Calibri"/>
          <w:sz w:val="22"/>
          <w:szCs w:val="22"/>
        </w:rPr>
        <w:t xml:space="preserve">World Health Organization (WHO). (n.d.). </w:t>
      </w:r>
      <w:r w:rsidRPr="00865D12">
        <w:rPr>
          <w:rStyle w:val="Emphasis"/>
          <w:rFonts w:ascii="Calibri" w:eastAsiaTheme="majorEastAsia" w:hAnsi="Calibri" w:cs="Calibri"/>
          <w:sz w:val="22"/>
          <w:szCs w:val="22"/>
        </w:rPr>
        <w:t>Impact of COVID-19 on global public health systems</w:t>
      </w:r>
      <w:r w:rsidRPr="00865D12">
        <w:rPr>
          <w:rFonts w:ascii="Calibri" w:hAnsi="Calibri" w:cs="Calibri"/>
          <w:sz w:val="22"/>
          <w:szCs w:val="22"/>
        </w:rPr>
        <w:t xml:space="preserve">. World Health Organization. Retrieved from </w:t>
      </w:r>
      <w:hyperlink r:id="rId15" w:tgtFrame="_new" w:history="1">
        <w:r w:rsidRPr="00865D12">
          <w:rPr>
            <w:rStyle w:val="Hyperlink"/>
            <w:rFonts w:ascii="Calibri" w:eastAsiaTheme="majorEastAsia" w:hAnsi="Calibri" w:cs="Calibri"/>
            <w:sz w:val="22"/>
            <w:szCs w:val="22"/>
          </w:rPr>
          <w:t>https://www.who.int/emergencies/diseases/novel-coronavirus-2019</w:t>
        </w:r>
      </w:hyperlink>
    </w:p>
    <w:p w14:paraId="5D005EA6" w14:textId="77777777" w:rsidR="00865D12" w:rsidRPr="00865D12" w:rsidRDefault="00865D12" w:rsidP="00865D12">
      <w:pPr>
        <w:pStyle w:val="NormalWeb"/>
        <w:numPr>
          <w:ilvl w:val="0"/>
          <w:numId w:val="6"/>
        </w:numPr>
        <w:rPr>
          <w:rFonts w:ascii="Calibri" w:hAnsi="Calibri" w:cs="Calibri"/>
          <w:sz w:val="22"/>
          <w:szCs w:val="22"/>
        </w:rPr>
      </w:pPr>
      <w:r w:rsidRPr="00865D12">
        <w:rPr>
          <w:rFonts w:ascii="Calibri" w:hAnsi="Calibri" w:cs="Calibri"/>
          <w:sz w:val="22"/>
          <w:szCs w:val="22"/>
        </w:rPr>
        <w:t xml:space="preserve">Wright State University. (n.d.). </w:t>
      </w:r>
      <w:r w:rsidRPr="00865D12">
        <w:rPr>
          <w:rStyle w:val="Emphasis"/>
          <w:rFonts w:ascii="Calibri" w:eastAsiaTheme="majorEastAsia" w:hAnsi="Calibri" w:cs="Calibri"/>
          <w:sz w:val="22"/>
          <w:szCs w:val="22"/>
        </w:rPr>
        <w:t>Biological weapon events history</w:t>
      </w:r>
      <w:r w:rsidRPr="00865D12">
        <w:rPr>
          <w:rFonts w:ascii="Calibri" w:hAnsi="Calibri" w:cs="Calibri"/>
          <w:sz w:val="22"/>
          <w:szCs w:val="22"/>
        </w:rPr>
        <w:t xml:space="preserve">. Retrieved from </w:t>
      </w:r>
      <w:hyperlink r:id="rId16" w:tgtFrame="_new" w:history="1">
        <w:r w:rsidRPr="00865D12">
          <w:rPr>
            <w:rStyle w:val="Hyperlink"/>
            <w:rFonts w:ascii="Calibri" w:eastAsiaTheme="majorEastAsia" w:hAnsi="Calibri" w:cs="Calibri"/>
            <w:sz w:val="22"/>
            <w:szCs w:val="22"/>
          </w:rPr>
          <w:t>https://people.wright.edu/sites/people.wright.edu/files/user-uploads/terry.oroszi/biological-weapon-events-history_0.pdf</w:t>
        </w:r>
      </w:hyperlink>
    </w:p>
    <w:p w14:paraId="723BF3FF" w14:textId="77777777" w:rsidR="00865D12" w:rsidRPr="00865D12" w:rsidRDefault="00865D12" w:rsidP="00865D12">
      <w:pPr>
        <w:pStyle w:val="NormalWeb"/>
        <w:numPr>
          <w:ilvl w:val="0"/>
          <w:numId w:val="6"/>
        </w:numPr>
        <w:rPr>
          <w:rFonts w:ascii="Calibri" w:hAnsi="Calibri" w:cs="Calibri"/>
          <w:sz w:val="22"/>
          <w:szCs w:val="22"/>
        </w:rPr>
      </w:pPr>
      <w:r w:rsidRPr="00865D12">
        <w:rPr>
          <w:rFonts w:ascii="Calibri" w:hAnsi="Calibri" w:cs="Calibri"/>
          <w:sz w:val="22"/>
          <w:szCs w:val="22"/>
        </w:rPr>
        <w:t xml:space="preserve">Select Agents Program. (n.d.). </w:t>
      </w:r>
      <w:r w:rsidRPr="00865D12">
        <w:rPr>
          <w:rStyle w:val="Emphasis"/>
          <w:rFonts w:ascii="Calibri" w:eastAsiaTheme="majorEastAsia" w:hAnsi="Calibri" w:cs="Calibri"/>
          <w:sz w:val="22"/>
          <w:szCs w:val="22"/>
        </w:rPr>
        <w:t>Overview and history</w:t>
      </w:r>
      <w:r w:rsidRPr="00865D12">
        <w:rPr>
          <w:rFonts w:ascii="Calibri" w:hAnsi="Calibri" w:cs="Calibri"/>
          <w:sz w:val="22"/>
          <w:szCs w:val="22"/>
        </w:rPr>
        <w:t xml:space="preserve">. U.S. Department of Health and Human Services. Retrieved from </w:t>
      </w:r>
      <w:hyperlink r:id="rId17" w:tgtFrame="_new" w:history="1">
        <w:r w:rsidRPr="00865D12">
          <w:rPr>
            <w:rStyle w:val="Hyperlink"/>
            <w:rFonts w:ascii="Calibri" w:eastAsiaTheme="majorEastAsia" w:hAnsi="Calibri" w:cs="Calibri"/>
            <w:sz w:val="22"/>
            <w:szCs w:val="22"/>
          </w:rPr>
          <w:t>https://www.selectagents.gov/overview/history.htm</w:t>
        </w:r>
      </w:hyperlink>
    </w:p>
    <w:p w14:paraId="010C7AD9" w14:textId="77777777" w:rsidR="00865D12" w:rsidRPr="00865D12" w:rsidRDefault="00865D12" w:rsidP="00865D12">
      <w:pPr>
        <w:pStyle w:val="NormalWeb"/>
        <w:numPr>
          <w:ilvl w:val="0"/>
          <w:numId w:val="6"/>
        </w:numPr>
        <w:rPr>
          <w:rFonts w:ascii="Calibri" w:hAnsi="Calibri" w:cs="Calibri"/>
          <w:sz w:val="22"/>
          <w:szCs w:val="22"/>
        </w:rPr>
      </w:pPr>
      <w:r w:rsidRPr="00865D12">
        <w:rPr>
          <w:rFonts w:ascii="Calibri" w:hAnsi="Calibri" w:cs="Calibri"/>
          <w:sz w:val="22"/>
          <w:szCs w:val="22"/>
        </w:rPr>
        <w:lastRenderedPageBreak/>
        <w:t xml:space="preserve">UNOG Library Resources. (n.d.). </w:t>
      </w:r>
      <w:r w:rsidRPr="00865D12">
        <w:rPr>
          <w:rStyle w:val="Emphasis"/>
          <w:rFonts w:ascii="Calibri" w:eastAsiaTheme="majorEastAsia" w:hAnsi="Calibri" w:cs="Calibri"/>
          <w:sz w:val="22"/>
          <w:szCs w:val="22"/>
        </w:rPr>
        <w:t>Biological weapons: UN documents</w:t>
      </w:r>
      <w:r w:rsidRPr="00865D12">
        <w:rPr>
          <w:rFonts w:ascii="Calibri" w:hAnsi="Calibri" w:cs="Calibri"/>
          <w:sz w:val="22"/>
          <w:szCs w:val="22"/>
        </w:rPr>
        <w:t xml:space="preserve">. United Nations Office at Geneva. Retrieved from </w:t>
      </w:r>
      <w:hyperlink r:id="rId18" w:tgtFrame="_new" w:history="1">
        <w:r w:rsidRPr="00865D12">
          <w:rPr>
            <w:rStyle w:val="Hyperlink"/>
            <w:rFonts w:ascii="Calibri" w:eastAsiaTheme="majorEastAsia" w:hAnsi="Calibri" w:cs="Calibri"/>
            <w:sz w:val="22"/>
            <w:szCs w:val="22"/>
          </w:rPr>
          <w:t>https://libraryresources.unog.ch/bioweapons/undocs</w:t>
        </w:r>
      </w:hyperlink>
    </w:p>
    <w:p w14:paraId="56D17806" w14:textId="77777777" w:rsidR="00865D12" w:rsidRPr="00865D12" w:rsidRDefault="00865D12" w:rsidP="00865D12">
      <w:pPr>
        <w:pStyle w:val="NormalWeb"/>
        <w:numPr>
          <w:ilvl w:val="0"/>
          <w:numId w:val="6"/>
        </w:numPr>
        <w:rPr>
          <w:rFonts w:ascii="Calibri" w:hAnsi="Calibri" w:cs="Calibri"/>
          <w:sz w:val="22"/>
          <w:szCs w:val="22"/>
        </w:rPr>
      </w:pPr>
      <w:r w:rsidRPr="00865D12">
        <w:rPr>
          <w:rFonts w:ascii="Calibri" w:hAnsi="Calibri" w:cs="Calibri"/>
          <w:sz w:val="22"/>
          <w:szCs w:val="22"/>
        </w:rPr>
        <w:t xml:space="preserve">United Nations. (2006). </w:t>
      </w:r>
      <w:r w:rsidRPr="00865D12">
        <w:rPr>
          <w:rStyle w:val="Emphasis"/>
          <w:rFonts w:ascii="Calibri" w:eastAsiaTheme="majorEastAsia" w:hAnsi="Calibri" w:cs="Calibri"/>
          <w:sz w:val="22"/>
          <w:szCs w:val="22"/>
        </w:rPr>
        <w:t>UN Security Council resolution 1540</w:t>
      </w:r>
      <w:r w:rsidRPr="00865D12">
        <w:rPr>
          <w:rFonts w:ascii="Calibri" w:hAnsi="Calibri" w:cs="Calibri"/>
          <w:sz w:val="22"/>
          <w:szCs w:val="22"/>
        </w:rPr>
        <w:t xml:space="preserve">. United Nations Documents. Retrieved from </w:t>
      </w:r>
      <w:hyperlink r:id="rId19" w:tgtFrame="_new" w:history="1">
        <w:r w:rsidRPr="00865D12">
          <w:rPr>
            <w:rStyle w:val="Hyperlink"/>
            <w:rFonts w:ascii="Calibri" w:eastAsiaTheme="majorEastAsia" w:hAnsi="Calibri" w:cs="Calibri"/>
            <w:sz w:val="22"/>
            <w:szCs w:val="22"/>
          </w:rPr>
          <w:t>https://documents.un.org/doc/undoc/gen/g06/653/74/pdf/g0665374.pdf</w:t>
        </w:r>
      </w:hyperlink>
    </w:p>
    <w:p w14:paraId="3CF669EE" w14:textId="77777777" w:rsidR="00865D12" w:rsidRPr="00865D12" w:rsidRDefault="00865D12" w:rsidP="00865D12">
      <w:pPr>
        <w:pStyle w:val="NormalWeb"/>
        <w:numPr>
          <w:ilvl w:val="0"/>
          <w:numId w:val="6"/>
        </w:numPr>
        <w:rPr>
          <w:rFonts w:ascii="Calibri" w:hAnsi="Calibri" w:cs="Calibri"/>
          <w:sz w:val="22"/>
          <w:szCs w:val="22"/>
        </w:rPr>
      </w:pPr>
      <w:r w:rsidRPr="00865D12">
        <w:rPr>
          <w:rFonts w:ascii="Calibri" w:hAnsi="Calibri" w:cs="Calibri"/>
          <w:sz w:val="22"/>
          <w:szCs w:val="22"/>
        </w:rPr>
        <w:t xml:space="preserve">International Biosafety Initiative. (n.d.). </w:t>
      </w:r>
      <w:r w:rsidRPr="00865D12">
        <w:rPr>
          <w:rStyle w:val="Emphasis"/>
          <w:rFonts w:ascii="Calibri" w:eastAsiaTheme="majorEastAsia" w:hAnsi="Calibri" w:cs="Calibri"/>
          <w:sz w:val="22"/>
          <w:szCs w:val="22"/>
        </w:rPr>
        <w:t>Resources and guidelines for biosecurity</w:t>
      </w:r>
      <w:r w:rsidRPr="00865D12">
        <w:rPr>
          <w:rFonts w:ascii="Calibri" w:hAnsi="Calibri" w:cs="Calibri"/>
          <w:sz w:val="22"/>
          <w:szCs w:val="22"/>
        </w:rPr>
        <w:t xml:space="preserve">. International Biosafety Initiative. Retrieved from </w:t>
      </w:r>
      <w:hyperlink r:id="rId20" w:tgtFrame="_new" w:history="1">
        <w:r w:rsidRPr="00865D12">
          <w:rPr>
            <w:rStyle w:val="Hyperlink"/>
            <w:rFonts w:ascii="Calibri" w:eastAsiaTheme="majorEastAsia" w:hAnsi="Calibri" w:cs="Calibri"/>
            <w:sz w:val="22"/>
            <w:szCs w:val="22"/>
          </w:rPr>
          <w:t>https://internationalbiosafety.org/</w:t>
        </w:r>
      </w:hyperlink>
    </w:p>
    <w:p w14:paraId="01315BEB" w14:textId="77777777" w:rsidR="00865D12" w:rsidRPr="00B5153D" w:rsidRDefault="00865D12" w:rsidP="00B5153D">
      <w:pPr>
        <w:pStyle w:val="NormalWeb"/>
        <w:jc w:val="both"/>
        <w:rPr>
          <w:rFonts w:ascii="Calibri" w:hAnsi="Calibri" w:cs="Calibri"/>
          <w:sz w:val="22"/>
          <w:szCs w:val="22"/>
        </w:rPr>
      </w:pPr>
    </w:p>
    <w:sectPr w:rsidR="00865D12" w:rsidRPr="00B515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6276"/>
    <w:multiLevelType w:val="multilevel"/>
    <w:tmpl w:val="4E6C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27A69"/>
    <w:multiLevelType w:val="multilevel"/>
    <w:tmpl w:val="E078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54D46"/>
    <w:multiLevelType w:val="multilevel"/>
    <w:tmpl w:val="567E9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63D39"/>
    <w:multiLevelType w:val="multilevel"/>
    <w:tmpl w:val="EC48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82474A"/>
    <w:multiLevelType w:val="multilevel"/>
    <w:tmpl w:val="3D601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DE6AEE"/>
    <w:multiLevelType w:val="multilevel"/>
    <w:tmpl w:val="1AD49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9956123">
    <w:abstractNumId w:val="5"/>
  </w:num>
  <w:num w:numId="2" w16cid:durableId="225071437">
    <w:abstractNumId w:val="4"/>
  </w:num>
  <w:num w:numId="3" w16cid:durableId="1484471751">
    <w:abstractNumId w:val="2"/>
  </w:num>
  <w:num w:numId="4" w16cid:durableId="1577978591">
    <w:abstractNumId w:val="1"/>
  </w:num>
  <w:num w:numId="5" w16cid:durableId="879438153">
    <w:abstractNumId w:val="3"/>
  </w:num>
  <w:num w:numId="6" w16cid:durableId="142575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DC"/>
    <w:rsid w:val="00006FA4"/>
    <w:rsid w:val="00046CDF"/>
    <w:rsid w:val="00132F20"/>
    <w:rsid w:val="00212D03"/>
    <w:rsid w:val="002A7229"/>
    <w:rsid w:val="00323EDC"/>
    <w:rsid w:val="003B512D"/>
    <w:rsid w:val="003F7F66"/>
    <w:rsid w:val="004F01AF"/>
    <w:rsid w:val="00593D5C"/>
    <w:rsid w:val="0059605B"/>
    <w:rsid w:val="005F15DD"/>
    <w:rsid w:val="005F5BC4"/>
    <w:rsid w:val="007D2F76"/>
    <w:rsid w:val="00830F74"/>
    <w:rsid w:val="00865D12"/>
    <w:rsid w:val="00893FFC"/>
    <w:rsid w:val="0094263E"/>
    <w:rsid w:val="00992EAE"/>
    <w:rsid w:val="009E4047"/>
    <w:rsid w:val="00A03948"/>
    <w:rsid w:val="00A721CE"/>
    <w:rsid w:val="00AB1223"/>
    <w:rsid w:val="00AE5353"/>
    <w:rsid w:val="00B5153D"/>
    <w:rsid w:val="00B93CC9"/>
    <w:rsid w:val="00C811AB"/>
    <w:rsid w:val="00CC1451"/>
    <w:rsid w:val="00D61113"/>
    <w:rsid w:val="00E04A32"/>
    <w:rsid w:val="00E566ED"/>
    <w:rsid w:val="00ED7CBA"/>
    <w:rsid w:val="00F72476"/>
    <w:rsid w:val="00F73A3A"/>
  </w:rsids>
  <m:mathPr>
    <m:mathFont m:val="Cambria Math"/>
    <m:brkBin m:val="before"/>
    <m:brkBinSub m:val="--"/>
    <m:smallFrac m:val="0"/>
    <m:dispDef/>
    <m:lMargin m:val="0"/>
    <m:rMargin m:val="0"/>
    <m:defJc m:val="centerGroup"/>
    <m:wrapIndent m:val="1440"/>
    <m:intLim m:val="subSup"/>
    <m:naryLim m:val="undOvr"/>
  </m:mathPr>
  <w:themeFontLang w:val="en-EG"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EE14BDD"/>
  <w15:chartTrackingRefBased/>
  <w15:docId w15:val="{90F72DD1-13A5-3C4E-BCE8-AF7B2FD4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E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3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23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3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23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EDC"/>
    <w:rPr>
      <w:rFonts w:eastAsiaTheme="majorEastAsia" w:cstheme="majorBidi"/>
      <w:color w:val="272727" w:themeColor="text1" w:themeTint="D8"/>
    </w:rPr>
  </w:style>
  <w:style w:type="paragraph" w:styleId="Title">
    <w:name w:val="Title"/>
    <w:basedOn w:val="Normal"/>
    <w:next w:val="Normal"/>
    <w:link w:val="TitleChar"/>
    <w:uiPriority w:val="10"/>
    <w:qFormat/>
    <w:rsid w:val="00323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EDC"/>
    <w:pPr>
      <w:spacing w:before="160"/>
      <w:jc w:val="center"/>
    </w:pPr>
    <w:rPr>
      <w:i/>
      <w:iCs/>
      <w:color w:val="404040" w:themeColor="text1" w:themeTint="BF"/>
    </w:rPr>
  </w:style>
  <w:style w:type="character" w:customStyle="1" w:styleId="QuoteChar">
    <w:name w:val="Quote Char"/>
    <w:basedOn w:val="DefaultParagraphFont"/>
    <w:link w:val="Quote"/>
    <w:uiPriority w:val="29"/>
    <w:rsid w:val="00323EDC"/>
    <w:rPr>
      <w:i/>
      <w:iCs/>
      <w:color w:val="404040" w:themeColor="text1" w:themeTint="BF"/>
    </w:rPr>
  </w:style>
  <w:style w:type="paragraph" w:styleId="ListParagraph">
    <w:name w:val="List Paragraph"/>
    <w:basedOn w:val="Normal"/>
    <w:uiPriority w:val="34"/>
    <w:qFormat/>
    <w:rsid w:val="00323EDC"/>
    <w:pPr>
      <w:ind w:left="720"/>
      <w:contextualSpacing/>
    </w:pPr>
  </w:style>
  <w:style w:type="character" w:styleId="IntenseEmphasis">
    <w:name w:val="Intense Emphasis"/>
    <w:basedOn w:val="DefaultParagraphFont"/>
    <w:uiPriority w:val="21"/>
    <w:qFormat/>
    <w:rsid w:val="00323EDC"/>
    <w:rPr>
      <w:i/>
      <w:iCs/>
      <w:color w:val="0F4761" w:themeColor="accent1" w:themeShade="BF"/>
    </w:rPr>
  </w:style>
  <w:style w:type="paragraph" w:styleId="IntenseQuote">
    <w:name w:val="Intense Quote"/>
    <w:basedOn w:val="Normal"/>
    <w:next w:val="Normal"/>
    <w:link w:val="IntenseQuoteChar"/>
    <w:uiPriority w:val="30"/>
    <w:qFormat/>
    <w:rsid w:val="00323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EDC"/>
    <w:rPr>
      <w:i/>
      <w:iCs/>
      <w:color w:val="0F4761" w:themeColor="accent1" w:themeShade="BF"/>
    </w:rPr>
  </w:style>
  <w:style w:type="character" w:styleId="IntenseReference">
    <w:name w:val="Intense Reference"/>
    <w:basedOn w:val="DefaultParagraphFont"/>
    <w:uiPriority w:val="32"/>
    <w:qFormat/>
    <w:rsid w:val="00323EDC"/>
    <w:rPr>
      <w:b/>
      <w:bCs/>
      <w:smallCaps/>
      <w:color w:val="0F4761" w:themeColor="accent1" w:themeShade="BF"/>
      <w:spacing w:val="5"/>
    </w:rPr>
  </w:style>
  <w:style w:type="character" w:styleId="Strong">
    <w:name w:val="Strong"/>
    <w:basedOn w:val="DefaultParagraphFont"/>
    <w:uiPriority w:val="22"/>
    <w:qFormat/>
    <w:rsid w:val="00006FA4"/>
    <w:rPr>
      <w:b/>
      <w:bCs/>
    </w:rPr>
  </w:style>
  <w:style w:type="paragraph" w:styleId="NormalWeb">
    <w:name w:val="Normal (Web)"/>
    <w:basedOn w:val="Normal"/>
    <w:uiPriority w:val="99"/>
    <w:unhideWhenUsed/>
    <w:rsid w:val="00006FA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ibliography">
    <w:name w:val="Bibliography"/>
    <w:basedOn w:val="Normal"/>
    <w:next w:val="Normal"/>
    <w:uiPriority w:val="37"/>
    <w:unhideWhenUsed/>
    <w:rsid w:val="00F73A3A"/>
  </w:style>
  <w:style w:type="character" w:styleId="Hyperlink">
    <w:name w:val="Hyperlink"/>
    <w:basedOn w:val="DefaultParagraphFont"/>
    <w:uiPriority w:val="99"/>
    <w:semiHidden/>
    <w:unhideWhenUsed/>
    <w:rsid w:val="0094263E"/>
    <w:rPr>
      <w:color w:val="0000FF"/>
      <w:u w:val="single"/>
    </w:rPr>
  </w:style>
  <w:style w:type="character" w:styleId="FollowedHyperlink">
    <w:name w:val="FollowedHyperlink"/>
    <w:basedOn w:val="DefaultParagraphFont"/>
    <w:uiPriority w:val="99"/>
    <w:semiHidden/>
    <w:unhideWhenUsed/>
    <w:rsid w:val="0094263E"/>
    <w:rPr>
      <w:color w:val="96607D" w:themeColor="followedHyperlink"/>
      <w:u w:val="single"/>
    </w:rPr>
  </w:style>
  <w:style w:type="table" w:styleId="TableGrid">
    <w:name w:val="Table Grid"/>
    <w:basedOn w:val="TableNormal"/>
    <w:uiPriority w:val="39"/>
    <w:rsid w:val="0089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ncate">
    <w:name w:val="truncate"/>
    <w:basedOn w:val="DefaultParagraphFont"/>
    <w:rsid w:val="004F01AF"/>
  </w:style>
  <w:style w:type="character" w:styleId="Emphasis">
    <w:name w:val="Emphasis"/>
    <w:basedOn w:val="DefaultParagraphFont"/>
    <w:uiPriority w:val="20"/>
    <w:qFormat/>
    <w:rsid w:val="00865D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40">
      <w:bodyDiv w:val="1"/>
      <w:marLeft w:val="0"/>
      <w:marRight w:val="0"/>
      <w:marTop w:val="0"/>
      <w:marBottom w:val="0"/>
      <w:divBdr>
        <w:top w:val="none" w:sz="0" w:space="0" w:color="auto"/>
        <w:left w:val="none" w:sz="0" w:space="0" w:color="auto"/>
        <w:bottom w:val="none" w:sz="0" w:space="0" w:color="auto"/>
        <w:right w:val="none" w:sz="0" w:space="0" w:color="auto"/>
      </w:divBdr>
    </w:div>
    <w:div w:id="26222738">
      <w:bodyDiv w:val="1"/>
      <w:marLeft w:val="0"/>
      <w:marRight w:val="0"/>
      <w:marTop w:val="0"/>
      <w:marBottom w:val="0"/>
      <w:divBdr>
        <w:top w:val="none" w:sz="0" w:space="0" w:color="auto"/>
        <w:left w:val="none" w:sz="0" w:space="0" w:color="auto"/>
        <w:bottom w:val="none" w:sz="0" w:space="0" w:color="auto"/>
        <w:right w:val="none" w:sz="0" w:space="0" w:color="auto"/>
      </w:divBdr>
    </w:div>
    <w:div w:id="95486864">
      <w:bodyDiv w:val="1"/>
      <w:marLeft w:val="0"/>
      <w:marRight w:val="0"/>
      <w:marTop w:val="0"/>
      <w:marBottom w:val="0"/>
      <w:divBdr>
        <w:top w:val="none" w:sz="0" w:space="0" w:color="auto"/>
        <w:left w:val="none" w:sz="0" w:space="0" w:color="auto"/>
        <w:bottom w:val="none" w:sz="0" w:space="0" w:color="auto"/>
        <w:right w:val="none" w:sz="0" w:space="0" w:color="auto"/>
      </w:divBdr>
    </w:div>
    <w:div w:id="108011533">
      <w:bodyDiv w:val="1"/>
      <w:marLeft w:val="0"/>
      <w:marRight w:val="0"/>
      <w:marTop w:val="0"/>
      <w:marBottom w:val="0"/>
      <w:divBdr>
        <w:top w:val="none" w:sz="0" w:space="0" w:color="auto"/>
        <w:left w:val="none" w:sz="0" w:space="0" w:color="auto"/>
        <w:bottom w:val="none" w:sz="0" w:space="0" w:color="auto"/>
        <w:right w:val="none" w:sz="0" w:space="0" w:color="auto"/>
      </w:divBdr>
    </w:div>
    <w:div w:id="131212753">
      <w:bodyDiv w:val="1"/>
      <w:marLeft w:val="0"/>
      <w:marRight w:val="0"/>
      <w:marTop w:val="0"/>
      <w:marBottom w:val="0"/>
      <w:divBdr>
        <w:top w:val="none" w:sz="0" w:space="0" w:color="auto"/>
        <w:left w:val="none" w:sz="0" w:space="0" w:color="auto"/>
        <w:bottom w:val="none" w:sz="0" w:space="0" w:color="auto"/>
        <w:right w:val="none" w:sz="0" w:space="0" w:color="auto"/>
      </w:divBdr>
    </w:div>
    <w:div w:id="173111096">
      <w:bodyDiv w:val="1"/>
      <w:marLeft w:val="0"/>
      <w:marRight w:val="0"/>
      <w:marTop w:val="0"/>
      <w:marBottom w:val="0"/>
      <w:divBdr>
        <w:top w:val="none" w:sz="0" w:space="0" w:color="auto"/>
        <w:left w:val="none" w:sz="0" w:space="0" w:color="auto"/>
        <w:bottom w:val="none" w:sz="0" w:space="0" w:color="auto"/>
        <w:right w:val="none" w:sz="0" w:space="0" w:color="auto"/>
      </w:divBdr>
    </w:div>
    <w:div w:id="385685851">
      <w:bodyDiv w:val="1"/>
      <w:marLeft w:val="0"/>
      <w:marRight w:val="0"/>
      <w:marTop w:val="0"/>
      <w:marBottom w:val="0"/>
      <w:divBdr>
        <w:top w:val="none" w:sz="0" w:space="0" w:color="auto"/>
        <w:left w:val="none" w:sz="0" w:space="0" w:color="auto"/>
        <w:bottom w:val="none" w:sz="0" w:space="0" w:color="auto"/>
        <w:right w:val="none" w:sz="0" w:space="0" w:color="auto"/>
      </w:divBdr>
    </w:div>
    <w:div w:id="416678821">
      <w:bodyDiv w:val="1"/>
      <w:marLeft w:val="0"/>
      <w:marRight w:val="0"/>
      <w:marTop w:val="0"/>
      <w:marBottom w:val="0"/>
      <w:divBdr>
        <w:top w:val="none" w:sz="0" w:space="0" w:color="auto"/>
        <w:left w:val="none" w:sz="0" w:space="0" w:color="auto"/>
        <w:bottom w:val="none" w:sz="0" w:space="0" w:color="auto"/>
        <w:right w:val="none" w:sz="0" w:space="0" w:color="auto"/>
      </w:divBdr>
    </w:div>
    <w:div w:id="504974596">
      <w:bodyDiv w:val="1"/>
      <w:marLeft w:val="0"/>
      <w:marRight w:val="0"/>
      <w:marTop w:val="0"/>
      <w:marBottom w:val="0"/>
      <w:divBdr>
        <w:top w:val="none" w:sz="0" w:space="0" w:color="auto"/>
        <w:left w:val="none" w:sz="0" w:space="0" w:color="auto"/>
        <w:bottom w:val="none" w:sz="0" w:space="0" w:color="auto"/>
        <w:right w:val="none" w:sz="0" w:space="0" w:color="auto"/>
      </w:divBdr>
    </w:div>
    <w:div w:id="519202542">
      <w:bodyDiv w:val="1"/>
      <w:marLeft w:val="0"/>
      <w:marRight w:val="0"/>
      <w:marTop w:val="0"/>
      <w:marBottom w:val="0"/>
      <w:divBdr>
        <w:top w:val="none" w:sz="0" w:space="0" w:color="auto"/>
        <w:left w:val="none" w:sz="0" w:space="0" w:color="auto"/>
        <w:bottom w:val="none" w:sz="0" w:space="0" w:color="auto"/>
        <w:right w:val="none" w:sz="0" w:space="0" w:color="auto"/>
      </w:divBdr>
    </w:div>
    <w:div w:id="571891487">
      <w:bodyDiv w:val="1"/>
      <w:marLeft w:val="0"/>
      <w:marRight w:val="0"/>
      <w:marTop w:val="0"/>
      <w:marBottom w:val="0"/>
      <w:divBdr>
        <w:top w:val="none" w:sz="0" w:space="0" w:color="auto"/>
        <w:left w:val="none" w:sz="0" w:space="0" w:color="auto"/>
        <w:bottom w:val="none" w:sz="0" w:space="0" w:color="auto"/>
        <w:right w:val="none" w:sz="0" w:space="0" w:color="auto"/>
      </w:divBdr>
    </w:div>
    <w:div w:id="586961197">
      <w:bodyDiv w:val="1"/>
      <w:marLeft w:val="0"/>
      <w:marRight w:val="0"/>
      <w:marTop w:val="0"/>
      <w:marBottom w:val="0"/>
      <w:divBdr>
        <w:top w:val="none" w:sz="0" w:space="0" w:color="auto"/>
        <w:left w:val="none" w:sz="0" w:space="0" w:color="auto"/>
        <w:bottom w:val="none" w:sz="0" w:space="0" w:color="auto"/>
        <w:right w:val="none" w:sz="0" w:space="0" w:color="auto"/>
      </w:divBdr>
    </w:div>
    <w:div w:id="684669975">
      <w:bodyDiv w:val="1"/>
      <w:marLeft w:val="0"/>
      <w:marRight w:val="0"/>
      <w:marTop w:val="0"/>
      <w:marBottom w:val="0"/>
      <w:divBdr>
        <w:top w:val="none" w:sz="0" w:space="0" w:color="auto"/>
        <w:left w:val="none" w:sz="0" w:space="0" w:color="auto"/>
        <w:bottom w:val="none" w:sz="0" w:space="0" w:color="auto"/>
        <w:right w:val="none" w:sz="0" w:space="0" w:color="auto"/>
      </w:divBdr>
      <w:divsChild>
        <w:div w:id="418454514">
          <w:marLeft w:val="0"/>
          <w:marRight w:val="0"/>
          <w:marTop w:val="0"/>
          <w:marBottom w:val="0"/>
          <w:divBdr>
            <w:top w:val="none" w:sz="0" w:space="0" w:color="auto"/>
            <w:left w:val="none" w:sz="0" w:space="0" w:color="auto"/>
            <w:bottom w:val="none" w:sz="0" w:space="0" w:color="auto"/>
            <w:right w:val="none" w:sz="0" w:space="0" w:color="auto"/>
          </w:divBdr>
        </w:div>
        <w:div w:id="381055724">
          <w:marLeft w:val="0"/>
          <w:marRight w:val="0"/>
          <w:marTop w:val="0"/>
          <w:marBottom w:val="0"/>
          <w:divBdr>
            <w:top w:val="none" w:sz="0" w:space="0" w:color="auto"/>
            <w:left w:val="none" w:sz="0" w:space="0" w:color="auto"/>
            <w:bottom w:val="none" w:sz="0" w:space="0" w:color="auto"/>
            <w:right w:val="none" w:sz="0" w:space="0" w:color="auto"/>
          </w:divBdr>
        </w:div>
        <w:div w:id="2107263433">
          <w:marLeft w:val="0"/>
          <w:marRight w:val="0"/>
          <w:marTop w:val="0"/>
          <w:marBottom w:val="0"/>
          <w:divBdr>
            <w:top w:val="none" w:sz="0" w:space="0" w:color="auto"/>
            <w:left w:val="none" w:sz="0" w:space="0" w:color="auto"/>
            <w:bottom w:val="none" w:sz="0" w:space="0" w:color="auto"/>
            <w:right w:val="none" w:sz="0" w:space="0" w:color="auto"/>
          </w:divBdr>
        </w:div>
        <w:div w:id="1244687095">
          <w:marLeft w:val="0"/>
          <w:marRight w:val="0"/>
          <w:marTop w:val="0"/>
          <w:marBottom w:val="0"/>
          <w:divBdr>
            <w:top w:val="none" w:sz="0" w:space="0" w:color="auto"/>
            <w:left w:val="none" w:sz="0" w:space="0" w:color="auto"/>
            <w:bottom w:val="none" w:sz="0" w:space="0" w:color="auto"/>
            <w:right w:val="none" w:sz="0" w:space="0" w:color="auto"/>
          </w:divBdr>
        </w:div>
      </w:divsChild>
    </w:div>
    <w:div w:id="755787651">
      <w:bodyDiv w:val="1"/>
      <w:marLeft w:val="0"/>
      <w:marRight w:val="0"/>
      <w:marTop w:val="0"/>
      <w:marBottom w:val="0"/>
      <w:divBdr>
        <w:top w:val="none" w:sz="0" w:space="0" w:color="auto"/>
        <w:left w:val="none" w:sz="0" w:space="0" w:color="auto"/>
        <w:bottom w:val="none" w:sz="0" w:space="0" w:color="auto"/>
        <w:right w:val="none" w:sz="0" w:space="0" w:color="auto"/>
      </w:divBdr>
    </w:div>
    <w:div w:id="866063078">
      <w:bodyDiv w:val="1"/>
      <w:marLeft w:val="0"/>
      <w:marRight w:val="0"/>
      <w:marTop w:val="0"/>
      <w:marBottom w:val="0"/>
      <w:divBdr>
        <w:top w:val="none" w:sz="0" w:space="0" w:color="auto"/>
        <w:left w:val="none" w:sz="0" w:space="0" w:color="auto"/>
        <w:bottom w:val="none" w:sz="0" w:space="0" w:color="auto"/>
        <w:right w:val="none" w:sz="0" w:space="0" w:color="auto"/>
      </w:divBdr>
    </w:div>
    <w:div w:id="964458825">
      <w:bodyDiv w:val="1"/>
      <w:marLeft w:val="0"/>
      <w:marRight w:val="0"/>
      <w:marTop w:val="0"/>
      <w:marBottom w:val="0"/>
      <w:divBdr>
        <w:top w:val="none" w:sz="0" w:space="0" w:color="auto"/>
        <w:left w:val="none" w:sz="0" w:space="0" w:color="auto"/>
        <w:bottom w:val="none" w:sz="0" w:space="0" w:color="auto"/>
        <w:right w:val="none" w:sz="0" w:space="0" w:color="auto"/>
      </w:divBdr>
    </w:div>
    <w:div w:id="1048063983">
      <w:bodyDiv w:val="1"/>
      <w:marLeft w:val="0"/>
      <w:marRight w:val="0"/>
      <w:marTop w:val="0"/>
      <w:marBottom w:val="0"/>
      <w:divBdr>
        <w:top w:val="none" w:sz="0" w:space="0" w:color="auto"/>
        <w:left w:val="none" w:sz="0" w:space="0" w:color="auto"/>
        <w:bottom w:val="none" w:sz="0" w:space="0" w:color="auto"/>
        <w:right w:val="none" w:sz="0" w:space="0" w:color="auto"/>
      </w:divBdr>
    </w:div>
    <w:div w:id="1111363021">
      <w:bodyDiv w:val="1"/>
      <w:marLeft w:val="0"/>
      <w:marRight w:val="0"/>
      <w:marTop w:val="0"/>
      <w:marBottom w:val="0"/>
      <w:divBdr>
        <w:top w:val="none" w:sz="0" w:space="0" w:color="auto"/>
        <w:left w:val="none" w:sz="0" w:space="0" w:color="auto"/>
        <w:bottom w:val="none" w:sz="0" w:space="0" w:color="auto"/>
        <w:right w:val="none" w:sz="0" w:space="0" w:color="auto"/>
      </w:divBdr>
    </w:div>
    <w:div w:id="1112091501">
      <w:bodyDiv w:val="1"/>
      <w:marLeft w:val="0"/>
      <w:marRight w:val="0"/>
      <w:marTop w:val="0"/>
      <w:marBottom w:val="0"/>
      <w:divBdr>
        <w:top w:val="none" w:sz="0" w:space="0" w:color="auto"/>
        <w:left w:val="none" w:sz="0" w:space="0" w:color="auto"/>
        <w:bottom w:val="none" w:sz="0" w:space="0" w:color="auto"/>
        <w:right w:val="none" w:sz="0" w:space="0" w:color="auto"/>
      </w:divBdr>
    </w:div>
    <w:div w:id="1192570781">
      <w:bodyDiv w:val="1"/>
      <w:marLeft w:val="0"/>
      <w:marRight w:val="0"/>
      <w:marTop w:val="0"/>
      <w:marBottom w:val="0"/>
      <w:divBdr>
        <w:top w:val="none" w:sz="0" w:space="0" w:color="auto"/>
        <w:left w:val="none" w:sz="0" w:space="0" w:color="auto"/>
        <w:bottom w:val="none" w:sz="0" w:space="0" w:color="auto"/>
        <w:right w:val="none" w:sz="0" w:space="0" w:color="auto"/>
      </w:divBdr>
    </w:div>
    <w:div w:id="1327129952">
      <w:bodyDiv w:val="1"/>
      <w:marLeft w:val="0"/>
      <w:marRight w:val="0"/>
      <w:marTop w:val="0"/>
      <w:marBottom w:val="0"/>
      <w:divBdr>
        <w:top w:val="none" w:sz="0" w:space="0" w:color="auto"/>
        <w:left w:val="none" w:sz="0" w:space="0" w:color="auto"/>
        <w:bottom w:val="none" w:sz="0" w:space="0" w:color="auto"/>
        <w:right w:val="none" w:sz="0" w:space="0" w:color="auto"/>
      </w:divBdr>
    </w:div>
    <w:div w:id="1338845256">
      <w:bodyDiv w:val="1"/>
      <w:marLeft w:val="0"/>
      <w:marRight w:val="0"/>
      <w:marTop w:val="0"/>
      <w:marBottom w:val="0"/>
      <w:divBdr>
        <w:top w:val="none" w:sz="0" w:space="0" w:color="auto"/>
        <w:left w:val="none" w:sz="0" w:space="0" w:color="auto"/>
        <w:bottom w:val="none" w:sz="0" w:space="0" w:color="auto"/>
        <w:right w:val="none" w:sz="0" w:space="0" w:color="auto"/>
      </w:divBdr>
    </w:div>
    <w:div w:id="1396006678">
      <w:bodyDiv w:val="1"/>
      <w:marLeft w:val="0"/>
      <w:marRight w:val="0"/>
      <w:marTop w:val="0"/>
      <w:marBottom w:val="0"/>
      <w:divBdr>
        <w:top w:val="none" w:sz="0" w:space="0" w:color="auto"/>
        <w:left w:val="none" w:sz="0" w:space="0" w:color="auto"/>
        <w:bottom w:val="none" w:sz="0" w:space="0" w:color="auto"/>
        <w:right w:val="none" w:sz="0" w:space="0" w:color="auto"/>
      </w:divBdr>
    </w:div>
    <w:div w:id="1490095480">
      <w:bodyDiv w:val="1"/>
      <w:marLeft w:val="0"/>
      <w:marRight w:val="0"/>
      <w:marTop w:val="0"/>
      <w:marBottom w:val="0"/>
      <w:divBdr>
        <w:top w:val="none" w:sz="0" w:space="0" w:color="auto"/>
        <w:left w:val="none" w:sz="0" w:space="0" w:color="auto"/>
        <w:bottom w:val="none" w:sz="0" w:space="0" w:color="auto"/>
        <w:right w:val="none" w:sz="0" w:space="0" w:color="auto"/>
      </w:divBdr>
    </w:div>
    <w:div w:id="1649554689">
      <w:bodyDiv w:val="1"/>
      <w:marLeft w:val="0"/>
      <w:marRight w:val="0"/>
      <w:marTop w:val="0"/>
      <w:marBottom w:val="0"/>
      <w:divBdr>
        <w:top w:val="none" w:sz="0" w:space="0" w:color="auto"/>
        <w:left w:val="none" w:sz="0" w:space="0" w:color="auto"/>
        <w:bottom w:val="none" w:sz="0" w:space="0" w:color="auto"/>
        <w:right w:val="none" w:sz="0" w:space="0" w:color="auto"/>
      </w:divBdr>
    </w:div>
    <w:div w:id="1664621916">
      <w:bodyDiv w:val="1"/>
      <w:marLeft w:val="0"/>
      <w:marRight w:val="0"/>
      <w:marTop w:val="0"/>
      <w:marBottom w:val="0"/>
      <w:divBdr>
        <w:top w:val="none" w:sz="0" w:space="0" w:color="auto"/>
        <w:left w:val="none" w:sz="0" w:space="0" w:color="auto"/>
        <w:bottom w:val="none" w:sz="0" w:space="0" w:color="auto"/>
        <w:right w:val="none" w:sz="0" w:space="0" w:color="auto"/>
      </w:divBdr>
    </w:div>
    <w:div w:id="1782265715">
      <w:bodyDiv w:val="1"/>
      <w:marLeft w:val="0"/>
      <w:marRight w:val="0"/>
      <w:marTop w:val="0"/>
      <w:marBottom w:val="0"/>
      <w:divBdr>
        <w:top w:val="none" w:sz="0" w:space="0" w:color="auto"/>
        <w:left w:val="none" w:sz="0" w:space="0" w:color="auto"/>
        <w:bottom w:val="none" w:sz="0" w:space="0" w:color="auto"/>
        <w:right w:val="none" w:sz="0" w:space="0" w:color="auto"/>
      </w:divBdr>
    </w:div>
    <w:div w:id="1971670569">
      <w:bodyDiv w:val="1"/>
      <w:marLeft w:val="0"/>
      <w:marRight w:val="0"/>
      <w:marTop w:val="0"/>
      <w:marBottom w:val="0"/>
      <w:divBdr>
        <w:top w:val="none" w:sz="0" w:space="0" w:color="auto"/>
        <w:left w:val="none" w:sz="0" w:space="0" w:color="auto"/>
        <w:bottom w:val="none" w:sz="0" w:space="0" w:color="auto"/>
        <w:right w:val="none" w:sz="0" w:space="0" w:color="auto"/>
      </w:divBdr>
    </w:div>
    <w:div w:id="2006199244">
      <w:bodyDiv w:val="1"/>
      <w:marLeft w:val="0"/>
      <w:marRight w:val="0"/>
      <w:marTop w:val="0"/>
      <w:marBottom w:val="0"/>
      <w:divBdr>
        <w:top w:val="none" w:sz="0" w:space="0" w:color="auto"/>
        <w:left w:val="none" w:sz="0" w:space="0" w:color="auto"/>
        <w:bottom w:val="none" w:sz="0" w:space="0" w:color="auto"/>
        <w:right w:val="none" w:sz="0" w:space="0" w:color="auto"/>
      </w:divBdr>
    </w:div>
    <w:div w:id="210687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rmament.unoda.org/biological-weapons/" TargetMode="External"/><Relationship Id="rId13" Type="http://schemas.openxmlformats.org/officeDocument/2006/relationships/hyperlink" Target="https://pmc.ncbi.nlm.nih.gov/articles/PMC2730306/" TargetMode="External"/><Relationship Id="rId18" Type="http://schemas.openxmlformats.org/officeDocument/2006/relationships/hyperlink" Target="https://libraryresources.unog.ch/bioweapons/undoc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cdc.gov/phpr/whatwedo.htm" TargetMode="External"/><Relationship Id="rId12" Type="http://schemas.openxmlformats.org/officeDocument/2006/relationships/hyperlink" Target="https://www.nature.com/articles/nm0102-10" TargetMode="External"/><Relationship Id="rId17" Type="http://schemas.openxmlformats.org/officeDocument/2006/relationships/hyperlink" Target="https://www.selectagents.gov/overview/history.htm" TargetMode="External"/><Relationship Id="rId2" Type="http://schemas.openxmlformats.org/officeDocument/2006/relationships/numbering" Target="numbering.xml"/><Relationship Id="rId16" Type="http://schemas.openxmlformats.org/officeDocument/2006/relationships/hyperlink" Target="https://people.wright.edu/sites/people.wright.edu/files/user-uploads/terry.oroszi/biological-weapon-events-history_0.pdf" TargetMode="External"/><Relationship Id="rId20" Type="http://schemas.openxmlformats.org/officeDocument/2006/relationships/hyperlink" Target="https://internationalbiosafety.org/" TargetMode="External"/><Relationship Id="rId1" Type="http://schemas.openxmlformats.org/officeDocument/2006/relationships/customXml" Target="../customXml/item1.xml"/><Relationship Id="rId6" Type="http://schemas.openxmlformats.org/officeDocument/2006/relationships/hyperlink" Target="https://armscontrolcenter.org/fact-sheet-biological-weapons/" TargetMode="External"/><Relationship Id="rId11" Type="http://schemas.openxmlformats.org/officeDocument/2006/relationships/hyperlink" Target="https://www.nap.edu/catalog/10827/biotechnology-research-in-an-age-of-terrorism" TargetMode="External"/><Relationship Id="rId5" Type="http://schemas.openxmlformats.org/officeDocument/2006/relationships/webSettings" Target="webSettings.xml"/><Relationship Id="rId15" Type="http://schemas.openxmlformats.org/officeDocument/2006/relationships/hyperlink" Target="https://www.who.int/emergencies/diseases/novel-coronavirus-2019" TargetMode="External"/><Relationship Id="rId10" Type="http://schemas.openxmlformats.org/officeDocument/2006/relationships/hyperlink" Target="https://www.niaid.nih.gov/" TargetMode="External"/><Relationship Id="rId19" Type="http://schemas.openxmlformats.org/officeDocument/2006/relationships/hyperlink" Target="https://documents.un.org/doc/undoc/gen/g06/653/74/pdf/g0665374.pdf" TargetMode="External"/><Relationship Id="rId4" Type="http://schemas.openxmlformats.org/officeDocument/2006/relationships/settings" Target="settings.xml"/><Relationship Id="rId9" Type="http://schemas.openxmlformats.org/officeDocument/2006/relationships/hyperlink" Target="https://www.whitehouse.gov/wp-content/uploads/2022/10/National-Biodefense-Strategy-and-Implementation-Plan-Final.pdf" TargetMode="External"/><Relationship Id="rId14" Type="http://schemas.openxmlformats.org/officeDocument/2006/relationships/hyperlink" Target="https://www.un.org/disarmament/biological-weap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b:Tag>
    <b:SourceType>InternetSite</b:SourceType>
    <b:Guid>{B9E831CD-E282-BD45-8616-6444B7EE1014}</b:Guid>
    <b:Author>
      <b:Author>
        <b:NameList>
          <b:Person>
            <b:Last>Gerberding</b:Last>
            <b:First>James</b:First>
            <b:Middle>M Hughes and Julie Louise</b:Middle>
          </b:Person>
        </b:NameList>
      </b:Author>
    </b:Author>
    <b:Title>Emerging infectious diseases</b:Title>
    <b:Year>2002</b:Year>
    <b:Month>October</b:Month>
    <b:YearAccessed>2024</b:YearAccessed>
    <b:MonthAccessed>December</b:MonthAccessed>
    <b:DayAccessed>30</b:DayAccessed>
    <b:InternetSiteTitle>U.S. National Library of Medicine</b:InternetSiteTitle>
    <b:URL>https://pmc.ncbi.nlm.nih.gov/articles/PMC2730306/</b:URL>
    <b:RefOrder>2</b:RefOrder>
  </b:Source>
  <b:Source>
    <b:Tag>Cor</b:Tag>
    <b:SourceType>InternetSite</b:SourceType>
    <b:Guid>{217DD62C-57D9-194C-9717-CD3756F0B43C}</b:Guid>
    <b:Title>Coronavirus disease (covid-19)</b:Title>
    <b:InternetSiteTitle>World Health Organization</b:InternetSiteTitle>
    <b:URL>https://www.who.int/emergencies/diseases/novel-coronavirus-2019</b:URL>
    <b:YearAccessed>2024</b:YearAccessed>
    <b:MonthAccessed>Decembar</b:MonthAccessed>
    <b:DayAccessed>30</b:DayAccessed>
    <b:RefOrder>1</b:RefOrder>
  </b:Source>
</b:Sources>
</file>

<file path=customXml/itemProps1.xml><?xml version="1.0" encoding="utf-8"?>
<ds:datastoreItem xmlns:ds="http://schemas.openxmlformats.org/officeDocument/2006/customXml" ds:itemID="{F2554F71-64EA-E241-9602-2DC65FF72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3353</Words>
  <Characters>19114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Ahmed MORSI</dc:creator>
  <cp:keywords/>
  <dc:description/>
  <cp:lastModifiedBy>Sara Ahmed MORSI</cp:lastModifiedBy>
  <cp:revision>3</cp:revision>
  <dcterms:created xsi:type="dcterms:W3CDTF">2025-01-08T16:22:00Z</dcterms:created>
  <dcterms:modified xsi:type="dcterms:W3CDTF">2025-01-08T19:39:00Z</dcterms:modified>
</cp:coreProperties>
</file>